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28611C">
      <w:pPr>
        <w:jc w:val="center"/>
        <w:rPr>
          <w:rFonts w:hint="eastAsia" w:eastAsia="宋体" w:cs="Times New Roman"/>
          <w:b/>
          <w:sz w:val="44"/>
          <w:szCs w:val="44"/>
          <w:highlight w:val="white"/>
        </w:rPr>
      </w:pPr>
      <w:r>
        <w:rPr>
          <w:rFonts w:hint="eastAsia" w:eastAsia="宋体" w:cs="Times New Roman"/>
          <w:b/>
          <w:sz w:val="44"/>
          <w:szCs w:val="44"/>
          <w:highlight w:val="white"/>
        </w:rPr>
        <w:t>采购需求</w:t>
      </w:r>
    </w:p>
    <w:p w14:paraId="4342FAE6">
      <w:pPr>
        <w:rPr>
          <w:rFonts w:hint="eastAsia" w:eastAsia="宋体" w:cs="Times New Roman"/>
          <w:highlight w:val="red"/>
        </w:rPr>
      </w:pPr>
      <w:bookmarkStart w:id="0" w:name="EB7816f6fdbc96408ea7b735c177a21493"/>
    </w:p>
    <w:p w14:paraId="3F78452C">
      <w:pPr>
        <w:pStyle w:val="8"/>
        <w:spacing w:after="200" w:line="500" w:lineRule="exact"/>
        <w:ind w:firstLine="482" w:firstLineChars="200"/>
        <w:outlineLvl w:val="1"/>
        <w:rPr>
          <w:rFonts w:hint="default" w:ascii="仿宋" w:hAnsi="仿宋" w:eastAsia="仿宋" w:cs="仿宋"/>
          <w:b/>
          <w:bCs/>
          <w:kern w:val="2"/>
          <w:sz w:val="24"/>
          <w:szCs w:val="22"/>
          <w:lang w:val="en-US" w:eastAsia="zh-CN"/>
        </w:rPr>
      </w:pPr>
      <w:r>
        <w:rPr>
          <w:rFonts w:hint="eastAsia" w:ascii="仿宋" w:hAnsi="仿宋" w:eastAsia="仿宋" w:cs="仿宋"/>
          <w:b/>
          <w:bCs/>
          <w:kern w:val="2"/>
          <w:sz w:val="24"/>
          <w:szCs w:val="22"/>
          <w:lang w:val="en-US" w:eastAsia="zh-CN"/>
        </w:rPr>
        <w:t>一、项目概况</w:t>
      </w:r>
    </w:p>
    <w:p w14:paraId="629F7117">
      <w:pPr>
        <w:pStyle w:val="6"/>
        <w:tabs>
          <w:tab w:val="center" w:pos="4153"/>
        </w:tabs>
        <w:spacing w:line="360" w:lineRule="auto"/>
        <w:ind w:firstLine="480" w:firstLineChars="200"/>
        <w:rPr>
          <w:rFonts w:ascii="宋体" w:hAnsi="宋体" w:eastAsia="宋体" w:cs="Times New Roman"/>
          <w:kern w:val="2"/>
          <w:sz w:val="24"/>
          <w:szCs w:val="24"/>
        </w:rPr>
      </w:pPr>
      <w:r>
        <w:rPr>
          <w:rFonts w:hint="eastAsia" w:ascii="宋体" w:hAnsi="宋体" w:cs="Times New Roman"/>
          <w:kern w:val="2"/>
          <w:sz w:val="24"/>
          <w:szCs w:val="24"/>
          <w:lang w:val="en-US" w:eastAsia="zh-CN"/>
        </w:rPr>
        <w:t>（一）</w:t>
      </w:r>
      <w:r>
        <w:rPr>
          <w:rFonts w:hint="eastAsia" w:ascii="宋体" w:hAnsi="宋体" w:eastAsia="宋体" w:cs="Times New Roman"/>
          <w:kern w:val="2"/>
          <w:sz w:val="24"/>
          <w:szCs w:val="24"/>
          <w:lang w:val="en-US" w:eastAsia="zh-CN"/>
        </w:rPr>
        <w:t>宿迁市2025年（中央体彩公益金资助）室外乒乓球桌采购项目</w:t>
      </w:r>
      <w:r>
        <w:rPr>
          <w:rFonts w:hint="eastAsia" w:ascii="宋体" w:hAnsi="宋体" w:cs="Times New Roman"/>
          <w:kern w:val="2"/>
          <w:sz w:val="24"/>
          <w:szCs w:val="24"/>
          <w:lang w:val="en-US" w:eastAsia="zh-CN"/>
        </w:rPr>
        <w:t>，本次采购</w:t>
      </w:r>
      <w:r>
        <w:rPr>
          <w:rFonts w:hint="eastAsia" w:ascii="宋体" w:hAnsi="宋体" w:eastAsia="宋体" w:cs="Times New Roman"/>
          <w:kern w:val="2"/>
          <w:sz w:val="24"/>
          <w:szCs w:val="24"/>
          <w:lang w:val="en-US" w:eastAsia="zh-CN"/>
        </w:rPr>
        <w:t>室外乒乓球台167张</w:t>
      </w:r>
      <w:r>
        <w:rPr>
          <w:rFonts w:hint="eastAsia" w:ascii="宋体" w:hAnsi="宋体" w:eastAsia="宋体" w:cs="Times New Roman"/>
          <w:kern w:val="2"/>
          <w:sz w:val="24"/>
          <w:szCs w:val="24"/>
        </w:rPr>
        <w:t>，总预算</w:t>
      </w:r>
      <w:r>
        <w:rPr>
          <w:rFonts w:hint="eastAsia" w:ascii="宋体" w:hAnsi="宋体" w:eastAsia="宋体" w:cs="Times New Roman"/>
          <w:kern w:val="2"/>
          <w:sz w:val="24"/>
          <w:szCs w:val="24"/>
          <w:lang w:val="en-US" w:eastAsia="zh-CN"/>
        </w:rPr>
        <w:t>50</w:t>
      </w:r>
      <w:r>
        <w:rPr>
          <w:rFonts w:hint="eastAsia" w:ascii="宋体" w:hAnsi="宋体" w:eastAsia="宋体" w:cs="Times New Roman"/>
          <w:kern w:val="2"/>
          <w:sz w:val="24"/>
          <w:szCs w:val="24"/>
        </w:rPr>
        <w:t>万。</w:t>
      </w:r>
    </w:p>
    <w:p w14:paraId="72F43D69">
      <w:pPr>
        <w:pStyle w:val="7"/>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lang w:eastAsia="zh-CN"/>
        </w:rPr>
        <w:t>（</w:t>
      </w:r>
      <w:r>
        <w:rPr>
          <w:rFonts w:hint="eastAsia" w:ascii="宋体" w:hAnsi="宋体" w:eastAsia="宋体" w:cs="Times New Roman"/>
          <w:b/>
          <w:sz w:val="24"/>
          <w:szCs w:val="24"/>
          <w:lang w:val="en-US" w:eastAsia="zh-CN"/>
        </w:rPr>
        <w:t>二</w:t>
      </w:r>
      <w:r>
        <w:rPr>
          <w:rFonts w:hint="eastAsia" w:ascii="宋体" w:hAnsi="宋体" w:eastAsia="宋体" w:cs="Times New Roman"/>
          <w:b/>
          <w:sz w:val="24"/>
          <w:szCs w:val="24"/>
          <w:lang w:eastAsia="zh-CN"/>
        </w:rPr>
        <w:t>）</w:t>
      </w:r>
      <w:r>
        <w:rPr>
          <w:rFonts w:hint="eastAsia" w:ascii="宋体" w:hAnsi="宋体" w:eastAsia="宋体" w:cs="Times New Roman"/>
          <w:b/>
          <w:sz w:val="24"/>
          <w:szCs w:val="24"/>
        </w:rPr>
        <w:t>招标内容：采购、安装、维保。</w:t>
      </w:r>
    </w:p>
    <w:p w14:paraId="169C8108">
      <w:pPr>
        <w:pStyle w:val="7"/>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lang w:eastAsia="zh-CN"/>
        </w:rPr>
        <w:t>（</w:t>
      </w:r>
      <w:r>
        <w:rPr>
          <w:rFonts w:hint="eastAsia" w:ascii="宋体" w:hAnsi="宋体" w:eastAsia="宋体" w:cs="Times New Roman"/>
          <w:b/>
          <w:sz w:val="24"/>
          <w:szCs w:val="24"/>
          <w:lang w:val="en-US" w:eastAsia="zh-CN"/>
        </w:rPr>
        <w:t>三</w:t>
      </w:r>
      <w:r>
        <w:rPr>
          <w:rFonts w:hint="eastAsia" w:ascii="宋体" w:hAnsi="宋体" w:eastAsia="宋体" w:cs="Times New Roman"/>
          <w:b/>
          <w:sz w:val="24"/>
          <w:szCs w:val="24"/>
          <w:lang w:eastAsia="zh-CN"/>
        </w:rPr>
        <w:t>）</w:t>
      </w:r>
      <w:r>
        <w:rPr>
          <w:rFonts w:hint="eastAsia" w:ascii="宋体" w:hAnsi="宋体" w:eastAsia="宋体" w:cs="Times New Roman"/>
          <w:b/>
          <w:sz w:val="24"/>
          <w:szCs w:val="24"/>
        </w:rPr>
        <w:t>质量要求：</w:t>
      </w:r>
      <w:r>
        <w:rPr>
          <w:rStyle w:val="5"/>
          <w:rFonts w:hint="eastAsia" w:ascii="宋体" w:hAnsi="宋体" w:eastAsia="宋体" w:cs="Times New Roman"/>
          <w:b/>
          <w:kern w:val="2"/>
          <w:sz w:val="24"/>
          <w:szCs w:val="24"/>
          <w:lang w:val="en-US" w:eastAsia="zh-CN"/>
        </w:rPr>
        <w:t>全部符合“室外健身器材的安全通用要求（GB19272-2011）”的有关要求，并提供国家体育用品质量检验检测中心出具的检验报告以及国家体育总局认可的权威检测机构相关证书（含非有效期证书的确认函）</w:t>
      </w:r>
      <w:r>
        <w:rPr>
          <w:rFonts w:hint="eastAsia" w:ascii="宋体" w:hAnsi="宋体" w:eastAsia="宋体" w:cs="Times New Roman"/>
          <w:b/>
          <w:sz w:val="24"/>
          <w:szCs w:val="24"/>
        </w:rPr>
        <w:t>。</w:t>
      </w:r>
    </w:p>
    <w:p w14:paraId="65A075AE">
      <w:pPr>
        <w:pStyle w:val="8"/>
        <w:spacing w:after="200" w:line="500" w:lineRule="exact"/>
        <w:ind w:firstLine="482" w:firstLineChars="200"/>
        <w:outlineLvl w:val="1"/>
        <w:rPr>
          <w:rFonts w:ascii="仿宋" w:hAnsi="仿宋" w:eastAsia="仿宋" w:cs="仿宋"/>
          <w:b/>
          <w:bCs/>
          <w:kern w:val="2"/>
          <w:sz w:val="24"/>
          <w:szCs w:val="22"/>
        </w:rPr>
      </w:pPr>
      <w:bookmarkStart w:id="1" w:name="_Toc462997022"/>
      <w:bookmarkStart w:id="2" w:name="_Toc514426469"/>
      <w:bookmarkStart w:id="3" w:name="_Toc105493079"/>
      <w:bookmarkStart w:id="4" w:name="_Toc536788500"/>
      <w:bookmarkStart w:id="5" w:name="_Toc256000015"/>
      <w:bookmarkStart w:id="6" w:name="_Toc495673448"/>
      <w:bookmarkStart w:id="7" w:name="_Toc256000038"/>
      <w:bookmarkStart w:id="8" w:name="_Toc514921155"/>
      <w:bookmarkStart w:id="9" w:name="_Toc256000020"/>
      <w:bookmarkStart w:id="10" w:name="_Toc111564911"/>
      <w:bookmarkStart w:id="11" w:name="_Toc5123"/>
      <w:bookmarkStart w:id="12" w:name="_Toc510533529"/>
      <w:bookmarkStart w:id="13" w:name="_Toc256000027"/>
      <w:r>
        <w:rPr>
          <w:rFonts w:hint="eastAsia" w:ascii="仿宋" w:hAnsi="仿宋" w:eastAsia="仿宋" w:cs="仿宋"/>
          <w:b/>
          <w:bCs/>
          <w:kern w:val="2"/>
          <w:sz w:val="24"/>
          <w:szCs w:val="22"/>
        </w:rPr>
        <w:t>二</w:t>
      </w:r>
      <w:r>
        <w:rPr>
          <w:rFonts w:ascii="仿宋" w:hAnsi="仿宋" w:eastAsia="仿宋" w:cs="仿宋"/>
          <w:b/>
          <w:bCs/>
          <w:kern w:val="2"/>
          <w:sz w:val="24"/>
          <w:szCs w:val="22"/>
        </w:rPr>
        <w:t>、</w:t>
      </w:r>
      <w:bookmarkEnd w:id="1"/>
      <w:bookmarkEnd w:id="2"/>
      <w:bookmarkEnd w:id="3"/>
      <w:bookmarkEnd w:id="4"/>
      <w:bookmarkEnd w:id="5"/>
      <w:bookmarkEnd w:id="6"/>
      <w:bookmarkEnd w:id="7"/>
      <w:bookmarkEnd w:id="8"/>
      <w:bookmarkEnd w:id="9"/>
      <w:bookmarkEnd w:id="10"/>
      <w:bookmarkEnd w:id="11"/>
      <w:bookmarkEnd w:id="12"/>
      <w:r>
        <w:rPr>
          <w:rFonts w:hint="eastAsia" w:ascii="仿宋" w:hAnsi="仿宋" w:eastAsia="仿宋" w:cs="仿宋"/>
          <w:b/>
          <w:bCs/>
          <w:kern w:val="2"/>
          <w:sz w:val="24"/>
          <w:szCs w:val="22"/>
        </w:rPr>
        <w:t>采购清单及技术要求</w:t>
      </w:r>
      <w:bookmarkEnd w:id="13"/>
    </w:p>
    <w:tbl>
      <w:tblPr>
        <w:tblStyle w:val="4"/>
        <w:tblW w:w="513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456"/>
        <w:gridCol w:w="2620"/>
        <w:gridCol w:w="4950"/>
        <w:gridCol w:w="429"/>
        <w:gridCol w:w="423"/>
      </w:tblGrid>
      <w:tr w14:paraId="6D199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6"/>
            <w:noWrap w:val="0"/>
            <w:vAlign w:val="top"/>
          </w:tcPr>
          <w:p w14:paraId="50397196">
            <w:pPr>
              <w:pStyle w:val="7"/>
              <w:spacing w:line="360" w:lineRule="auto"/>
              <w:rPr>
                <w:rFonts w:hint="eastAsia" w:ascii="宋体" w:hAnsi="宋体" w:eastAsia="宋体" w:cs="Times New Roman"/>
                <w:b/>
                <w:sz w:val="24"/>
                <w:szCs w:val="24"/>
                <w:lang w:val="en-US" w:eastAsia="zh-CN" w:bidi="ar-SA"/>
              </w:rPr>
            </w:pPr>
            <w:bookmarkStart w:id="14" w:name="_Toc256000028"/>
            <w:bookmarkStart w:id="15" w:name="_Toc256000021"/>
            <w:bookmarkStart w:id="16" w:name="_Toc256000034"/>
            <w:bookmarkStart w:id="17" w:name="_Toc111564912"/>
            <w:bookmarkStart w:id="18" w:name="_Toc256000039"/>
            <w:bookmarkStart w:id="19" w:name="_Toc105493080"/>
            <w:bookmarkStart w:id="20" w:name="_Toc256000016"/>
            <w:r>
              <w:rPr>
                <w:rFonts w:hint="eastAsia" w:ascii="宋体" w:hAnsi="宋体" w:eastAsia="宋体" w:cs="Times New Roman"/>
                <w:b/>
                <w:sz w:val="24"/>
                <w:szCs w:val="24"/>
                <w:lang w:val="en-US" w:eastAsia="zh-CN"/>
              </w:rPr>
              <w:t>（一）</w:t>
            </w:r>
            <w:r>
              <w:rPr>
                <w:rFonts w:hint="eastAsia" w:ascii="宋体" w:hAnsi="宋体" w:eastAsia="宋体" w:cs="Times New Roman"/>
                <w:b/>
                <w:sz w:val="24"/>
                <w:szCs w:val="24"/>
              </w:rPr>
              <w:t>通用要求</w:t>
            </w:r>
          </w:p>
        </w:tc>
      </w:tr>
      <w:tr w14:paraId="40EB9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6"/>
            <w:noWrap w:val="0"/>
            <w:vAlign w:val="center"/>
          </w:tcPr>
          <w:p w14:paraId="4F6C42E5">
            <w:pPr>
              <w:pStyle w:val="9"/>
              <w:numPr>
                <w:ilvl w:val="0"/>
                <w:numId w:val="1"/>
              </w:numPr>
              <w:tabs>
                <w:tab w:val="left" w:pos="522"/>
              </w:tabs>
              <w:spacing w:line="370" w:lineRule="exact"/>
              <w:rPr>
                <w:rFonts w:hint="eastAsia" w:ascii="宋体-PUA" w:hAnsi="宋体-PUA" w:eastAsia="宋体-PUA" w:cs="宋体-PUA"/>
                <w:kern w:val="2"/>
                <w:sz w:val="21"/>
                <w:szCs w:val="21"/>
              </w:rPr>
            </w:pPr>
            <w:r>
              <w:rPr>
                <w:rFonts w:hint="eastAsia" w:ascii="宋体-PUA" w:hAnsi="宋体-PUA" w:eastAsia="宋体-PUA" w:cs="宋体-PUA"/>
                <w:kern w:val="2"/>
                <w:sz w:val="21"/>
                <w:szCs w:val="21"/>
                <w:lang w:val="en-US" w:eastAsia="zh-CN"/>
              </w:rPr>
              <w:t>器材</w:t>
            </w:r>
            <w:r>
              <w:rPr>
                <w:rFonts w:hint="eastAsia" w:ascii="宋体-PUA" w:hAnsi="宋体-PUA" w:eastAsia="宋体-PUA" w:cs="宋体-PUA"/>
                <w:kern w:val="2"/>
                <w:sz w:val="21"/>
                <w:szCs w:val="21"/>
              </w:rPr>
              <w:t>涂层、橡胶、塑料件有害物质限量</w:t>
            </w:r>
            <w:r>
              <w:rPr>
                <w:rFonts w:hint="eastAsia" w:ascii="宋体-PUA" w:hAnsi="宋体-PUA" w:eastAsia="宋体-PUA" w:cs="宋体-PUA"/>
                <w:kern w:val="2"/>
                <w:sz w:val="21"/>
                <w:szCs w:val="21"/>
                <w:lang w:val="en-US" w:eastAsia="zh-CN"/>
              </w:rPr>
              <w:t>以及器材</w:t>
            </w:r>
            <w:r>
              <w:rPr>
                <w:rFonts w:hint="eastAsia" w:ascii="宋体-PUA" w:hAnsi="宋体-PUA" w:eastAsia="宋体-PUA" w:cs="宋体-PUA"/>
                <w:kern w:val="2"/>
                <w:sz w:val="21"/>
                <w:szCs w:val="21"/>
              </w:rPr>
              <w:t>闭合开口、不完全闭合开口</w:t>
            </w:r>
            <w:r>
              <w:rPr>
                <w:rFonts w:hint="eastAsia" w:ascii="宋体-PUA" w:hAnsi="宋体-PUA" w:eastAsia="宋体-PUA" w:cs="宋体-PUA"/>
                <w:kern w:val="2"/>
                <w:sz w:val="21"/>
                <w:szCs w:val="21"/>
                <w:lang w:eastAsia="zh-CN"/>
              </w:rPr>
              <w:t>、</w:t>
            </w:r>
            <w:r>
              <w:rPr>
                <w:rFonts w:hint="eastAsia" w:ascii="宋体-PUA" w:hAnsi="宋体-PUA" w:eastAsia="宋体-PUA" w:cs="宋体-PUA"/>
                <w:kern w:val="2"/>
                <w:sz w:val="21"/>
                <w:szCs w:val="21"/>
              </w:rPr>
              <w:t>地埋式器材地埋深度</w:t>
            </w:r>
            <w:r>
              <w:rPr>
                <w:rFonts w:hint="eastAsia" w:ascii="宋体-PUA" w:hAnsi="宋体-PUA" w:eastAsia="宋体-PUA" w:cs="宋体-PUA"/>
                <w:kern w:val="2"/>
                <w:sz w:val="21"/>
                <w:szCs w:val="21"/>
                <w:lang w:eastAsia="zh-CN"/>
              </w:rPr>
              <w:t>、</w:t>
            </w:r>
            <w:r>
              <w:rPr>
                <w:rFonts w:hint="eastAsia" w:ascii="宋体-PUA" w:hAnsi="宋体-PUA" w:eastAsia="宋体-PUA" w:cs="宋体-PUA"/>
                <w:kern w:val="2"/>
                <w:sz w:val="21"/>
                <w:szCs w:val="21"/>
                <w:lang w:val="en-US" w:eastAsia="zh-CN"/>
              </w:rPr>
              <w:t>器材安装等都必须</w:t>
            </w:r>
            <w:r>
              <w:rPr>
                <w:rFonts w:hint="eastAsia" w:ascii="宋体-PUA" w:hAnsi="宋体-PUA" w:eastAsia="宋体-PUA" w:cs="宋体-PUA"/>
                <w:kern w:val="2"/>
                <w:sz w:val="21"/>
                <w:szCs w:val="21"/>
              </w:rPr>
              <w:t>符合GB 19272-2011《室外健身器材的安全通用要求》的要求</w:t>
            </w:r>
            <w:r>
              <w:rPr>
                <w:rFonts w:hint="eastAsia" w:ascii="宋体-PUA" w:hAnsi="宋体-PUA" w:eastAsia="宋体-PUA" w:cs="宋体-PUA"/>
                <w:kern w:val="2"/>
                <w:sz w:val="21"/>
                <w:szCs w:val="21"/>
                <w:lang w:eastAsia="zh-CN"/>
              </w:rPr>
              <w:t>，</w:t>
            </w:r>
            <w:r>
              <w:rPr>
                <w:rFonts w:hint="eastAsia" w:ascii="宋体-PUA" w:hAnsi="宋体-PUA" w:eastAsia="宋体-PUA" w:cs="宋体-PUA"/>
                <w:kern w:val="2"/>
                <w:sz w:val="21"/>
                <w:szCs w:val="21"/>
              </w:rPr>
              <w:t>并提供有效证明文件（具有资质的检验机构的检验报告）；</w:t>
            </w:r>
          </w:p>
          <w:p w14:paraId="7D569674">
            <w:pPr>
              <w:pStyle w:val="9"/>
              <w:numPr>
                <w:ilvl w:val="0"/>
                <w:numId w:val="1"/>
              </w:numPr>
              <w:tabs>
                <w:tab w:val="left" w:pos="522"/>
              </w:tabs>
              <w:spacing w:line="370" w:lineRule="exact"/>
              <w:rPr>
                <w:rFonts w:ascii="宋体-PUA" w:hAnsi="宋体-PUA" w:eastAsia="宋体-PUA" w:cs="宋体-PUA"/>
                <w:kern w:val="2"/>
                <w:sz w:val="21"/>
                <w:szCs w:val="21"/>
              </w:rPr>
            </w:pPr>
            <w:r>
              <w:rPr>
                <w:rFonts w:hint="eastAsia" w:ascii="宋体-PUA" w:hAnsi="宋体-PUA" w:eastAsia="宋体-PUA" w:cs="宋体-PUA"/>
                <w:kern w:val="2"/>
                <w:sz w:val="21"/>
                <w:szCs w:val="21"/>
              </w:rPr>
              <w:t>螺钉、螺母应防锈、防松和防盗；并应采取措施对螺栓、螺纹永久的覆盖。</w:t>
            </w:r>
          </w:p>
          <w:p w14:paraId="707F02C6">
            <w:pPr>
              <w:pStyle w:val="9"/>
              <w:numPr>
                <w:ilvl w:val="0"/>
                <w:numId w:val="1"/>
              </w:numPr>
              <w:tabs>
                <w:tab w:val="left" w:pos="522"/>
              </w:tabs>
              <w:spacing w:line="370" w:lineRule="exact"/>
              <w:rPr>
                <w:rFonts w:ascii="宋体-PUA" w:hAnsi="宋体-PUA" w:eastAsia="宋体-PUA" w:cs="宋体-PUA"/>
                <w:kern w:val="2"/>
                <w:sz w:val="21"/>
                <w:szCs w:val="21"/>
              </w:rPr>
            </w:pPr>
            <w:r>
              <w:rPr>
                <w:rFonts w:hint="eastAsia" w:ascii="宋体-PUA" w:hAnsi="宋体-PUA" w:eastAsia="宋体-PUA" w:cs="宋体-PUA"/>
                <w:kern w:val="2"/>
                <w:sz w:val="21"/>
                <w:szCs w:val="21"/>
              </w:rPr>
              <w:t>覆盖件在其安装面以上直角部分的高度小于3mm；覆盖件直线部分超过3mm的，其突出部分外角应不小于105°或不应有易钩挂形状；</w:t>
            </w:r>
          </w:p>
          <w:p w14:paraId="2849E615">
            <w:pPr>
              <w:pStyle w:val="9"/>
              <w:numPr>
                <w:ilvl w:val="0"/>
                <w:numId w:val="1"/>
              </w:numPr>
              <w:tabs>
                <w:tab w:val="left" w:pos="522"/>
              </w:tabs>
              <w:spacing w:line="370" w:lineRule="exact"/>
              <w:rPr>
                <w:rFonts w:ascii="宋体-PUA" w:hAnsi="宋体-PUA" w:eastAsia="宋体-PUA" w:cs="宋体-PUA"/>
                <w:kern w:val="2"/>
                <w:sz w:val="21"/>
                <w:szCs w:val="21"/>
              </w:rPr>
            </w:pPr>
            <w:r>
              <w:rPr>
                <w:rFonts w:hint="eastAsia" w:ascii="宋体-PUA" w:hAnsi="宋体-PUA" w:eastAsia="宋体-PUA" w:cs="宋体-PUA"/>
                <w:kern w:val="2"/>
                <w:sz w:val="21"/>
                <w:szCs w:val="21"/>
              </w:rPr>
              <w:t>器材不允许存在和使用功能无关的凸出物</w:t>
            </w:r>
            <w:r>
              <w:rPr>
                <w:rFonts w:hint="eastAsia" w:ascii="宋体-PUA" w:hAnsi="宋体-PUA" w:eastAsia="宋体-PUA" w:cs="宋体-PUA"/>
                <w:kern w:val="2"/>
                <w:sz w:val="21"/>
                <w:szCs w:val="21"/>
                <w:lang w:eastAsia="zh-CN"/>
              </w:rPr>
              <w:t>，</w:t>
            </w:r>
            <w:r>
              <w:rPr>
                <w:rFonts w:hint="eastAsia" w:ascii="宋体-PUA" w:hAnsi="宋体-PUA" w:eastAsia="宋体-PUA" w:cs="宋体-PUA"/>
                <w:kern w:val="2"/>
                <w:sz w:val="21"/>
                <w:szCs w:val="21"/>
              </w:rPr>
              <w:t>使用者或第三者易接触的零部件的其他所有棱边应予以圆滑过渡或加以防护；</w:t>
            </w:r>
          </w:p>
          <w:p w14:paraId="2A53BE3C">
            <w:pPr>
              <w:pStyle w:val="9"/>
              <w:numPr>
                <w:ilvl w:val="0"/>
                <w:numId w:val="1"/>
              </w:numPr>
              <w:tabs>
                <w:tab w:val="left" w:pos="522"/>
              </w:tabs>
              <w:spacing w:line="370" w:lineRule="exact"/>
              <w:rPr>
                <w:rFonts w:ascii="宋体-PUA" w:hAnsi="宋体-PUA" w:eastAsia="宋体-PUA" w:cs="宋体-PUA"/>
                <w:kern w:val="2"/>
                <w:sz w:val="21"/>
                <w:szCs w:val="21"/>
              </w:rPr>
            </w:pPr>
            <w:r>
              <w:rPr>
                <w:rFonts w:hint="eastAsia" w:ascii="宋体-PUA" w:hAnsi="宋体-PUA" w:eastAsia="宋体-PUA" w:cs="宋体-PUA"/>
                <w:kern w:val="2"/>
                <w:sz w:val="21"/>
                <w:szCs w:val="21"/>
              </w:rPr>
              <w:t>钢铁制件（不锈钢除外）表面，应经过酸洗、磷化处理后或经过表面热度锌处理后，进行表面喷塑处理，涂层厚度不小于</w:t>
            </w:r>
            <w:r>
              <w:rPr>
                <w:rFonts w:hint="eastAsia" w:ascii="宋体-PUA" w:hAnsi="宋体-PUA" w:eastAsia="宋体-PUA" w:cs="宋体-PUA"/>
                <w:kern w:val="2"/>
                <w:sz w:val="21"/>
                <w:szCs w:val="21"/>
                <w:lang w:val="en-US" w:eastAsia="zh-CN"/>
              </w:rPr>
              <w:t>0.7mm。</w:t>
            </w:r>
          </w:p>
          <w:p w14:paraId="21C4BB6F">
            <w:pPr>
              <w:pStyle w:val="9"/>
              <w:tabs>
                <w:tab w:val="left" w:pos="522"/>
              </w:tabs>
              <w:spacing w:line="370" w:lineRule="exact"/>
              <w:rPr>
                <w:rFonts w:hint="eastAsia" w:ascii="宋体-PUA" w:hAnsi="宋体-PUA" w:eastAsia="宋体-PUA" w:cs="宋体-PUA"/>
                <w:kern w:val="2"/>
                <w:sz w:val="21"/>
                <w:szCs w:val="21"/>
                <w:lang w:eastAsia="zh-CN"/>
              </w:rPr>
            </w:pPr>
            <w:r>
              <w:rPr>
                <w:rFonts w:hint="eastAsia" w:ascii="宋体-PUA" w:hAnsi="宋体-PUA" w:eastAsia="宋体-PUA" w:cs="宋体-PUA"/>
                <w:kern w:val="2"/>
                <w:sz w:val="21"/>
                <w:szCs w:val="21"/>
              </w:rPr>
              <w:t>★</w:t>
            </w:r>
            <w:r>
              <w:rPr>
                <w:rFonts w:hint="eastAsia" w:ascii="宋体-PUA" w:hAnsi="宋体-PUA" w:eastAsia="宋体-PUA" w:cs="宋体-PUA"/>
                <w:kern w:val="2"/>
                <w:sz w:val="21"/>
                <w:szCs w:val="21"/>
                <w:lang w:val="en-US" w:eastAsia="zh-CN"/>
              </w:rPr>
              <w:t>6</w:t>
            </w:r>
            <w:r>
              <w:rPr>
                <w:rFonts w:hint="eastAsia" w:ascii="宋体-PUA" w:hAnsi="宋体-PUA" w:eastAsia="宋体-PUA" w:cs="宋体-PUA"/>
                <w:kern w:val="2"/>
                <w:sz w:val="21"/>
                <w:szCs w:val="21"/>
              </w:rPr>
              <w:t>、为保证全民健身器材统一、管理规范化，投标供应商所</w:t>
            </w:r>
            <w:r>
              <w:rPr>
                <w:rFonts w:hint="eastAsia" w:ascii="宋体-PUA" w:hAnsi="宋体-PUA" w:eastAsia="宋体-PUA" w:cs="宋体-PUA"/>
                <w:kern w:val="2"/>
                <w:sz w:val="21"/>
                <w:szCs w:val="21"/>
                <w:lang w:val="en-US" w:eastAsia="zh-CN"/>
              </w:rPr>
              <w:t>投</w:t>
            </w:r>
            <w:r>
              <w:rPr>
                <w:rFonts w:hint="eastAsia" w:ascii="宋体-PUA" w:hAnsi="宋体-PUA" w:eastAsia="宋体-PUA" w:cs="宋体-PUA"/>
                <w:kern w:val="2"/>
                <w:sz w:val="21"/>
                <w:szCs w:val="21"/>
              </w:rPr>
              <w:t>器材的品牌必须要求一致，不得出现多个不同品牌产品，每一件都必须单独符合GB19272-2011《室外健身器材的安全通用要求》的规定要求，</w:t>
            </w:r>
            <w:r>
              <w:rPr>
                <w:rFonts w:hint="eastAsia" w:ascii="宋体-PUA" w:hAnsi="宋体-PUA" w:eastAsia="宋体-PUA" w:cs="宋体-PUA"/>
                <w:kern w:val="2"/>
                <w:sz w:val="21"/>
                <w:szCs w:val="21"/>
                <w:lang w:val="en-US" w:eastAsia="zh-CN"/>
              </w:rPr>
              <w:t>并提供国家体育用品质量检验检测中心出具的检验报告以及国家体育总局认可的权威检测机构相关证书（含非有效期证书的确认函）</w:t>
            </w:r>
            <w:r>
              <w:rPr>
                <w:rFonts w:hint="eastAsia" w:ascii="宋体-PUA" w:hAnsi="宋体-PUA" w:eastAsia="宋体-PUA" w:cs="宋体-PUA"/>
                <w:kern w:val="2"/>
                <w:sz w:val="21"/>
                <w:szCs w:val="21"/>
                <w:lang w:eastAsia="zh-CN"/>
              </w:rPr>
              <w:t>。</w:t>
            </w:r>
          </w:p>
          <w:p w14:paraId="5CC9FEDD">
            <w:pPr>
              <w:pStyle w:val="9"/>
              <w:tabs>
                <w:tab w:val="left" w:pos="522"/>
              </w:tabs>
              <w:spacing w:line="370" w:lineRule="exact"/>
              <w:rPr>
                <w:rFonts w:hint="eastAsia" w:ascii="Calibri" w:hAnsi="Calibri" w:eastAsia="宋体" w:cs="Times New Roman"/>
                <w:kern w:val="2"/>
                <w:sz w:val="21"/>
                <w:szCs w:val="22"/>
                <w:lang w:val="en-US" w:eastAsia="zh-CN" w:bidi="ar-SA"/>
              </w:rPr>
            </w:pPr>
            <w:r>
              <w:rPr>
                <w:rFonts w:hint="eastAsia" w:ascii="宋体-PUA" w:hAnsi="宋体-PUA" w:eastAsia="宋体-PUA" w:cs="宋体-PUA"/>
                <w:kern w:val="2"/>
                <w:sz w:val="21"/>
                <w:szCs w:val="21"/>
              </w:rPr>
              <w:t>★</w:t>
            </w:r>
            <w:r>
              <w:rPr>
                <w:rFonts w:hint="eastAsia" w:ascii="宋体-PUA" w:hAnsi="宋体-PUA" w:eastAsia="宋体-PUA" w:cs="宋体-PUA"/>
                <w:kern w:val="2"/>
                <w:sz w:val="21"/>
                <w:szCs w:val="21"/>
                <w:lang w:val="en-US" w:eastAsia="zh-CN"/>
              </w:rPr>
              <w:t>7</w:t>
            </w:r>
            <w:r>
              <w:rPr>
                <w:rFonts w:hint="eastAsia" w:ascii="宋体-PUA" w:hAnsi="宋体-PUA" w:eastAsia="宋体-PUA" w:cs="宋体-PUA"/>
                <w:kern w:val="2"/>
                <w:sz w:val="21"/>
                <w:szCs w:val="21"/>
              </w:rPr>
              <w:t>、</w:t>
            </w:r>
            <w:r>
              <w:rPr>
                <w:rFonts w:hint="eastAsia" w:ascii="宋体-PUA" w:hAnsi="宋体-PUA" w:eastAsia="宋体-PUA" w:cs="宋体-PUA"/>
                <w:kern w:val="2"/>
                <w:sz w:val="21"/>
                <w:szCs w:val="21"/>
                <w:lang w:val="en-US" w:eastAsia="zh-CN"/>
              </w:rPr>
              <w:t>所有</w:t>
            </w:r>
            <w:r>
              <w:rPr>
                <w:rFonts w:hint="eastAsia" w:ascii="宋体-PUA" w:hAnsi="宋体-PUA" w:eastAsia="宋体-PUA" w:cs="宋体-PUA"/>
                <w:kern w:val="2"/>
                <w:sz w:val="21"/>
                <w:szCs w:val="21"/>
              </w:rPr>
              <w:t>器材安全使用寿命不低于8年</w:t>
            </w:r>
            <w:r>
              <w:rPr>
                <w:rFonts w:hint="eastAsia" w:ascii="宋体-PUA" w:hAnsi="宋体-PUA" w:eastAsia="宋体-PUA" w:cs="宋体-PUA"/>
                <w:kern w:val="2"/>
                <w:sz w:val="21"/>
                <w:szCs w:val="21"/>
                <w:lang w:eastAsia="zh-CN"/>
              </w:rPr>
              <w:t>，</w:t>
            </w:r>
            <w:r>
              <w:rPr>
                <w:rFonts w:hint="eastAsia" w:ascii="宋体-PUA" w:hAnsi="宋体-PUA" w:eastAsia="宋体-PUA" w:cs="宋体-PUA"/>
                <w:kern w:val="2"/>
                <w:sz w:val="21"/>
                <w:szCs w:val="21"/>
                <w:lang w:val="en-US" w:eastAsia="zh-CN"/>
              </w:rPr>
              <w:t>且在出厂前在器材铭牌上方单独制作经采购方同意的器材报修二维码铭牌，</w:t>
            </w:r>
            <w:r>
              <w:rPr>
                <w:rFonts w:hint="eastAsia" w:ascii="宋体-PUA" w:hAnsi="宋体-PUA" w:eastAsia="宋体-PUA" w:cs="宋体-PUA"/>
                <w:kern w:val="2"/>
                <w:sz w:val="21"/>
                <w:szCs w:val="21"/>
              </w:rPr>
              <w:t>否则作无效投标处理。</w:t>
            </w:r>
          </w:p>
        </w:tc>
      </w:tr>
      <w:tr w14:paraId="338FD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6"/>
            <w:noWrap w:val="0"/>
            <w:vAlign w:val="center"/>
          </w:tcPr>
          <w:p w14:paraId="4CBABD1D">
            <w:pPr>
              <w:pStyle w:val="10"/>
              <w:jc w:val="both"/>
              <w:rPr>
                <w:rFonts w:hint="default" w:ascii="Calibri" w:hAnsi="Calibri" w:eastAsia="黑体" w:cs="Times New Roman"/>
                <w:kern w:val="2"/>
                <w:sz w:val="21"/>
                <w:szCs w:val="22"/>
                <w:lang w:val="en-US" w:eastAsia="zh-CN" w:bidi="ar-SA"/>
              </w:rPr>
            </w:pPr>
            <w:r>
              <w:rPr>
                <w:rFonts w:hint="eastAsia" w:ascii="宋体" w:hAnsi="宋体" w:cs="Times New Roman"/>
                <w:b/>
                <w:sz w:val="24"/>
                <w:szCs w:val="24"/>
                <w:lang w:eastAsia="zh-CN"/>
              </w:rPr>
              <w:t>（</w:t>
            </w:r>
            <w:r>
              <w:rPr>
                <w:rFonts w:hint="eastAsia" w:ascii="宋体" w:hAnsi="宋体" w:cs="Times New Roman"/>
                <w:b/>
                <w:sz w:val="24"/>
                <w:szCs w:val="24"/>
                <w:lang w:val="en-US" w:eastAsia="zh-CN"/>
              </w:rPr>
              <w:t>二</w:t>
            </w:r>
            <w:r>
              <w:rPr>
                <w:rFonts w:hint="eastAsia" w:ascii="宋体" w:hAnsi="宋体" w:cs="Times New Roman"/>
                <w:b/>
                <w:sz w:val="24"/>
                <w:szCs w:val="24"/>
                <w:lang w:eastAsia="zh-CN"/>
              </w:rPr>
              <w:t>）</w:t>
            </w:r>
            <w:r>
              <w:rPr>
                <w:rFonts w:hint="eastAsia" w:ascii="宋体" w:hAnsi="宋体" w:cs="Times New Roman"/>
                <w:b/>
                <w:sz w:val="24"/>
                <w:szCs w:val="24"/>
              </w:rPr>
              <w:t>参数要求</w:t>
            </w:r>
            <w:r>
              <w:rPr>
                <w:rFonts w:hint="eastAsia" w:ascii="宋体" w:hAnsi="宋体" w:cs="Times New Roman"/>
                <w:b/>
                <w:sz w:val="24"/>
                <w:szCs w:val="24"/>
                <w:lang w:eastAsia="zh-CN"/>
              </w:rPr>
              <w:t>（</w:t>
            </w:r>
            <w:r>
              <w:rPr>
                <w:rFonts w:hint="eastAsia" w:ascii="宋体" w:hAnsi="宋体" w:cs="Times New Roman"/>
                <w:b/>
                <w:sz w:val="24"/>
                <w:szCs w:val="24"/>
                <w:lang w:val="en-US" w:eastAsia="zh-CN"/>
              </w:rPr>
              <w:t>图片为网上下载，仅作样式提示，具体要求以产品参数为准）</w:t>
            </w:r>
          </w:p>
        </w:tc>
      </w:tr>
      <w:tr w14:paraId="120C3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9" w:type="pct"/>
            <w:noWrap w:val="0"/>
            <w:vAlign w:val="center"/>
          </w:tcPr>
          <w:p w14:paraId="5EB28945">
            <w:pPr>
              <w:pStyle w:val="9"/>
              <w:spacing w:line="360" w:lineRule="exact"/>
              <w:jc w:val="center"/>
              <w:rPr>
                <w:rFonts w:hint="eastAsia" w:ascii="宋体-PUA" w:hAnsi="宋体-PUA" w:eastAsia="宋体-PUA" w:cs="宋体-PUA"/>
                <w:bCs/>
                <w:kern w:val="2"/>
                <w:sz w:val="21"/>
                <w:szCs w:val="21"/>
                <w:lang w:val="en-US" w:eastAsia="zh-CN" w:bidi="ar-SA"/>
              </w:rPr>
            </w:pPr>
            <w:r>
              <w:rPr>
                <w:rFonts w:hint="eastAsia" w:ascii="宋体-PUA" w:hAnsi="宋体-PUA" w:eastAsia="宋体-PUA" w:cs="宋体-PUA"/>
                <w:bCs/>
                <w:kern w:val="2"/>
                <w:sz w:val="21"/>
                <w:szCs w:val="21"/>
              </w:rPr>
              <w:t>1</w:t>
            </w:r>
          </w:p>
        </w:tc>
        <w:tc>
          <w:tcPr>
            <w:tcW w:w="245" w:type="pct"/>
            <w:noWrap w:val="0"/>
            <w:vAlign w:val="center"/>
          </w:tcPr>
          <w:p w14:paraId="25403C52">
            <w:pPr>
              <w:pStyle w:val="9"/>
              <w:spacing w:line="360" w:lineRule="exact"/>
              <w:jc w:val="center"/>
              <w:rPr>
                <w:rFonts w:hint="default" w:ascii="宋体-PUA" w:hAnsi="宋体-PUA" w:eastAsia="宋体-PUA" w:cs="宋体-PUA"/>
                <w:bCs/>
                <w:kern w:val="2"/>
                <w:sz w:val="21"/>
                <w:szCs w:val="21"/>
                <w:lang w:val="en-US" w:eastAsia="zh-CN" w:bidi="ar-SA"/>
              </w:rPr>
            </w:pPr>
            <w:r>
              <w:rPr>
                <w:rFonts w:hint="eastAsia" w:ascii="宋体-PUA" w:hAnsi="宋体-PUA" w:eastAsia="宋体-PUA" w:cs="宋体-PUA"/>
                <w:bCs/>
                <w:szCs w:val="21"/>
                <w:lang w:val="en-US" w:eastAsia="zh-CN"/>
              </w:rPr>
              <w:t>室外乒乓球桌</w:t>
            </w:r>
          </w:p>
        </w:tc>
        <w:tc>
          <w:tcPr>
            <w:tcW w:w="1407" w:type="pct"/>
            <w:noWrap w:val="0"/>
            <w:vAlign w:val="top"/>
          </w:tcPr>
          <w:p w14:paraId="35988EED">
            <w:pPr>
              <w:widowControl/>
              <w:spacing w:line="360" w:lineRule="auto"/>
              <w:ind w:left="-105" w:leftChars="-50" w:right="-105" w:rightChars="-50"/>
              <w:jc w:val="center"/>
              <w:outlineLvl w:val="0"/>
              <w:rPr>
                <w:rFonts w:hint="eastAsia" w:ascii="仿宋_GB2312" w:hAnsi="宋体" w:eastAsia="仿宋_GB2312" w:cs="Times New Roman"/>
                <w:b/>
                <w:kern w:val="2"/>
                <w:sz w:val="21"/>
                <w:szCs w:val="21"/>
                <w:lang w:val="en-US" w:eastAsia="zh-CN" w:bidi="ar-SA"/>
              </w:rPr>
            </w:pPr>
            <w:r>
              <w:rPr>
                <w:rFonts w:eastAsia="宋体" w:cs="Times New Roman"/>
              </w:rPr>
              <w:drawing>
                <wp:inline distT="0" distB="0" distL="114300" distR="114300">
                  <wp:extent cx="1503680" cy="759460"/>
                  <wp:effectExtent l="0" t="0" r="127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503680" cy="759460"/>
                          </a:xfrm>
                          <a:prstGeom prst="rect">
                            <a:avLst/>
                          </a:prstGeom>
                          <a:noFill/>
                          <a:ln>
                            <a:noFill/>
                          </a:ln>
                        </pic:spPr>
                      </pic:pic>
                    </a:graphicData>
                  </a:graphic>
                </wp:inline>
              </w:drawing>
            </w:r>
          </w:p>
        </w:tc>
        <w:tc>
          <w:tcPr>
            <w:tcW w:w="2659" w:type="pct"/>
            <w:noWrap w:val="0"/>
            <w:vAlign w:val="top"/>
          </w:tcPr>
          <w:p w14:paraId="253A1C8F">
            <w:pPr>
              <w:pStyle w:val="9"/>
              <w:tabs>
                <w:tab w:val="left" w:pos="522"/>
              </w:tabs>
              <w:spacing w:line="370" w:lineRule="exact"/>
              <w:rPr>
                <w:rFonts w:hint="default" w:ascii="宋体-PUA" w:hAnsi="宋体-PUA" w:eastAsia="宋体-PUA" w:cs="宋体-PUA"/>
                <w:kern w:val="2"/>
                <w:sz w:val="21"/>
                <w:szCs w:val="21"/>
                <w:lang w:val="en-US" w:eastAsia="zh-CN"/>
              </w:rPr>
            </w:pPr>
            <w:r>
              <w:rPr>
                <w:rFonts w:hint="eastAsia" w:ascii="宋体-PUA" w:hAnsi="宋体-PUA" w:eastAsia="宋体-PUA" w:cs="宋体-PUA"/>
                <w:kern w:val="2"/>
                <w:sz w:val="21"/>
                <w:szCs w:val="21"/>
                <w:lang w:val="en-US" w:eastAsia="zh-CN"/>
              </w:rPr>
              <w:t>1、</w:t>
            </w:r>
            <w:r>
              <w:rPr>
                <w:rFonts w:hint="eastAsia" w:ascii="宋体-PUA" w:hAnsi="宋体-PUA" w:eastAsia="宋体-PUA" w:cs="宋体-PUA"/>
                <w:kern w:val="2"/>
                <w:sz w:val="21"/>
                <w:szCs w:val="21"/>
              </w:rPr>
              <w:t xml:space="preserve">外形尺寸（长×宽×高） </w:t>
            </w:r>
            <w:r>
              <w:rPr>
                <w:rFonts w:hint="eastAsia" w:ascii="宋体-PUA" w:hAnsi="宋体-PUA" w:eastAsia="宋体-PUA" w:cs="宋体-PUA"/>
                <w:kern w:val="2"/>
                <w:sz w:val="21"/>
                <w:szCs w:val="21"/>
                <w:lang w:val="en-US" w:eastAsia="zh-CN"/>
              </w:rPr>
              <w:t>≥</w:t>
            </w:r>
            <w:r>
              <w:rPr>
                <w:rFonts w:hint="eastAsia" w:ascii="宋体-PUA" w:hAnsi="宋体-PUA" w:eastAsia="宋体-PUA" w:cs="宋体-PUA"/>
                <w:kern w:val="2"/>
                <w:sz w:val="21"/>
                <w:szCs w:val="21"/>
                <w:lang w:eastAsia="zh-CN"/>
              </w:rPr>
              <w:t>2740×15</w:t>
            </w:r>
            <w:r>
              <w:rPr>
                <w:rFonts w:hint="eastAsia" w:ascii="宋体-PUA" w:hAnsi="宋体-PUA" w:eastAsia="宋体-PUA" w:cs="宋体-PUA"/>
                <w:kern w:val="2"/>
                <w:sz w:val="21"/>
                <w:szCs w:val="21"/>
                <w:lang w:val="en-US" w:eastAsia="zh-CN"/>
              </w:rPr>
              <w:t>3</w:t>
            </w:r>
            <w:r>
              <w:rPr>
                <w:rFonts w:hint="eastAsia" w:ascii="宋体-PUA" w:hAnsi="宋体-PUA" w:eastAsia="宋体-PUA" w:cs="宋体-PUA"/>
                <w:kern w:val="2"/>
                <w:sz w:val="21"/>
                <w:szCs w:val="21"/>
                <w:lang w:eastAsia="zh-CN"/>
              </w:rPr>
              <w:t>0×912mm。</w:t>
            </w:r>
          </w:p>
          <w:p w14:paraId="58781DD6">
            <w:pPr>
              <w:pStyle w:val="9"/>
              <w:tabs>
                <w:tab w:val="left" w:pos="522"/>
              </w:tabs>
              <w:spacing w:line="370" w:lineRule="exact"/>
              <w:rPr>
                <w:rFonts w:hint="eastAsia" w:ascii="宋体-PUA" w:hAnsi="宋体-PUA" w:eastAsia="宋体-PUA" w:cs="宋体-PUA"/>
                <w:kern w:val="2"/>
                <w:sz w:val="21"/>
                <w:szCs w:val="21"/>
                <w:lang w:eastAsia="zh-CN"/>
              </w:rPr>
            </w:pPr>
            <w:r>
              <w:rPr>
                <w:rFonts w:hint="eastAsia" w:ascii="宋体-PUA" w:hAnsi="宋体-PUA" w:eastAsia="宋体-PUA" w:cs="宋体-PUA"/>
                <w:kern w:val="2"/>
                <w:sz w:val="21"/>
                <w:szCs w:val="21"/>
                <w:lang w:val="en-US" w:eastAsia="zh-CN"/>
              </w:rPr>
              <w:t>2</w:t>
            </w:r>
            <w:r>
              <w:rPr>
                <w:rFonts w:hint="eastAsia" w:ascii="宋体-PUA" w:hAnsi="宋体-PUA" w:eastAsia="宋体-PUA" w:cs="宋体-PUA"/>
                <w:kern w:val="2"/>
                <w:sz w:val="21"/>
                <w:szCs w:val="21"/>
              </w:rPr>
              <w:t>、主要承载立柱</w:t>
            </w:r>
            <w:r>
              <w:rPr>
                <w:rFonts w:hint="eastAsia" w:ascii="宋体-PUA" w:hAnsi="宋体-PUA" w:eastAsia="宋体-PUA" w:cs="宋体-PUA"/>
                <w:kern w:val="2"/>
                <w:sz w:val="21"/>
                <w:szCs w:val="21"/>
                <w:lang w:val="en-US" w:eastAsia="zh-CN"/>
              </w:rPr>
              <w:t>尺寸≥</w:t>
            </w:r>
            <w:r>
              <w:rPr>
                <w:rFonts w:hint="eastAsia" w:ascii="宋体-PUA" w:hAnsi="宋体-PUA" w:eastAsia="宋体-PUA" w:cs="宋体-PUA"/>
                <w:kern w:val="2"/>
                <w:sz w:val="21"/>
                <w:szCs w:val="21"/>
              </w:rPr>
              <w:t>φ</w:t>
            </w:r>
            <w:r>
              <w:rPr>
                <w:rFonts w:hint="eastAsia" w:ascii="宋体-PUA" w:hAnsi="宋体-PUA" w:eastAsia="宋体-PUA" w:cs="宋体-PUA"/>
                <w:kern w:val="2"/>
                <w:sz w:val="21"/>
                <w:szCs w:val="21"/>
                <w:lang w:val="en-US" w:eastAsia="zh-CN"/>
              </w:rPr>
              <w:t>60</w:t>
            </w:r>
            <w:r>
              <w:rPr>
                <w:rFonts w:hint="eastAsia" w:ascii="宋体-PUA" w:hAnsi="宋体-PUA" w:eastAsia="宋体-PUA" w:cs="宋体-PUA"/>
                <w:kern w:val="2"/>
                <w:sz w:val="21"/>
                <w:szCs w:val="21"/>
              </w:rPr>
              <w:t>mm×3mm</w:t>
            </w:r>
            <w:r>
              <w:rPr>
                <w:rFonts w:hint="eastAsia" w:ascii="宋体-PUA" w:hAnsi="宋体-PUA" w:eastAsia="宋体-PUA" w:cs="宋体-PUA"/>
                <w:kern w:val="2"/>
                <w:sz w:val="21"/>
                <w:szCs w:val="21"/>
                <w:lang w:eastAsia="zh-CN"/>
              </w:rPr>
              <w:t>。</w:t>
            </w:r>
          </w:p>
          <w:p w14:paraId="6BE4CB11">
            <w:pPr>
              <w:pStyle w:val="9"/>
              <w:tabs>
                <w:tab w:val="left" w:pos="522"/>
              </w:tabs>
              <w:spacing w:line="370" w:lineRule="exact"/>
              <w:rPr>
                <w:rFonts w:hint="eastAsia" w:ascii="宋体-PUA" w:hAnsi="宋体-PUA" w:eastAsia="宋体-PUA" w:cs="宋体-PUA"/>
                <w:kern w:val="2"/>
                <w:sz w:val="21"/>
                <w:szCs w:val="21"/>
                <w:lang w:val="en-US" w:eastAsia="zh-CN"/>
              </w:rPr>
            </w:pPr>
            <w:r>
              <w:rPr>
                <w:rFonts w:hint="eastAsia" w:ascii="宋体-PUA" w:hAnsi="宋体-PUA" w:eastAsia="宋体-PUA" w:cs="宋体-PUA"/>
                <w:kern w:val="2"/>
                <w:sz w:val="21"/>
                <w:szCs w:val="21"/>
                <w:lang w:val="en-US" w:eastAsia="zh-CN"/>
              </w:rPr>
              <w:t>3</w:t>
            </w:r>
            <w:r>
              <w:rPr>
                <w:rFonts w:hint="eastAsia" w:ascii="宋体-PUA" w:hAnsi="宋体-PUA" w:eastAsia="宋体-PUA" w:cs="宋体-PUA"/>
                <w:kern w:val="2"/>
                <w:sz w:val="21"/>
                <w:szCs w:val="21"/>
              </w:rPr>
              <w:t>、主要承载横梁</w:t>
            </w:r>
            <w:r>
              <w:rPr>
                <w:rFonts w:hint="eastAsia" w:ascii="宋体-PUA" w:hAnsi="宋体-PUA" w:eastAsia="宋体-PUA" w:cs="宋体-PUA"/>
                <w:kern w:val="2"/>
                <w:sz w:val="21"/>
                <w:szCs w:val="21"/>
                <w:lang w:val="en-US" w:eastAsia="zh-CN"/>
              </w:rPr>
              <w:t>尺寸≥3</w:t>
            </w:r>
            <w:r>
              <w:rPr>
                <w:rFonts w:hint="eastAsia" w:ascii="宋体-PUA" w:hAnsi="宋体-PUA" w:eastAsia="宋体-PUA" w:cs="宋体-PUA"/>
                <w:kern w:val="2"/>
                <w:sz w:val="21"/>
                <w:szCs w:val="21"/>
              </w:rPr>
              <w:t>0mm×</w:t>
            </w:r>
            <w:r>
              <w:rPr>
                <w:rFonts w:hint="eastAsia" w:ascii="宋体-PUA" w:hAnsi="宋体-PUA" w:eastAsia="宋体-PUA" w:cs="宋体-PUA"/>
                <w:kern w:val="2"/>
                <w:sz w:val="21"/>
                <w:szCs w:val="21"/>
                <w:lang w:val="en-US" w:eastAsia="zh-CN"/>
              </w:rPr>
              <w:t>2</w:t>
            </w:r>
            <w:r>
              <w:rPr>
                <w:rFonts w:hint="eastAsia" w:ascii="宋体-PUA" w:hAnsi="宋体-PUA" w:eastAsia="宋体-PUA" w:cs="宋体-PUA"/>
                <w:kern w:val="2"/>
                <w:sz w:val="21"/>
                <w:szCs w:val="21"/>
              </w:rPr>
              <w:t>0mm×2mm</w:t>
            </w:r>
            <w:r>
              <w:rPr>
                <w:rFonts w:hint="eastAsia" w:ascii="宋体-PUA" w:hAnsi="宋体-PUA" w:eastAsia="宋体-PUA" w:cs="宋体-PUA"/>
                <w:kern w:val="2"/>
                <w:sz w:val="21"/>
                <w:szCs w:val="21"/>
                <w:lang w:eastAsia="zh-CN"/>
              </w:rPr>
              <w:t>。</w:t>
            </w:r>
          </w:p>
          <w:p w14:paraId="4E137987">
            <w:pPr>
              <w:pStyle w:val="9"/>
              <w:tabs>
                <w:tab w:val="left" w:pos="522"/>
              </w:tabs>
              <w:spacing w:line="370" w:lineRule="exact"/>
              <w:rPr>
                <w:rFonts w:hint="default" w:ascii="宋体-PUA" w:hAnsi="宋体-PUA" w:eastAsia="宋体-PUA" w:cs="宋体-PUA"/>
                <w:kern w:val="2"/>
                <w:sz w:val="21"/>
                <w:szCs w:val="21"/>
                <w:lang w:val="en-US" w:eastAsia="zh-CN"/>
              </w:rPr>
            </w:pPr>
            <w:r>
              <w:rPr>
                <w:rFonts w:hint="eastAsia" w:ascii="宋体-PUA" w:hAnsi="宋体-PUA" w:eastAsia="宋体-PUA" w:cs="宋体-PUA"/>
                <w:kern w:val="2"/>
                <w:sz w:val="21"/>
                <w:szCs w:val="21"/>
                <w:lang w:val="en-US" w:eastAsia="zh-CN"/>
              </w:rPr>
              <w:t>4、安装方式：预埋式。</w:t>
            </w:r>
          </w:p>
          <w:p w14:paraId="3E733116">
            <w:pPr>
              <w:pStyle w:val="9"/>
              <w:tabs>
                <w:tab w:val="left" w:pos="522"/>
              </w:tabs>
              <w:spacing w:line="370" w:lineRule="exact"/>
              <w:rPr>
                <w:rFonts w:hint="default" w:ascii="宋体-PUA" w:hAnsi="宋体-PUA" w:eastAsia="宋体-PUA" w:cs="宋体-PUA"/>
                <w:kern w:val="2"/>
                <w:sz w:val="21"/>
                <w:szCs w:val="21"/>
                <w:lang w:val="en-US" w:eastAsia="zh-CN"/>
              </w:rPr>
            </w:pPr>
            <w:r>
              <w:rPr>
                <w:rFonts w:hint="eastAsia" w:ascii="宋体-PUA" w:hAnsi="宋体-PUA" w:eastAsia="宋体-PUA" w:cs="宋体-PUA"/>
                <w:kern w:val="2"/>
                <w:sz w:val="21"/>
                <w:szCs w:val="21"/>
                <w:lang w:val="en-US" w:eastAsia="zh-CN"/>
              </w:rPr>
              <w:t>5</w:t>
            </w:r>
            <w:r>
              <w:rPr>
                <w:rFonts w:hint="eastAsia" w:ascii="宋体-PUA" w:hAnsi="宋体-PUA" w:eastAsia="宋体-PUA" w:cs="宋体-PUA"/>
                <w:kern w:val="2"/>
                <w:sz w:val="21"/>
                <w:szCs w:val="21"/>
              </w:rPr>
              <w:t>、</w:t>
            </w:r>
            <w:r>
              <w:rPr>
                <w:rFonts w:hint="eastAsia" w:ascii="宋体-PUA" w:hAnsi="宋体-PUA" w:eastAsia="宋体-PUA" w:cs="宋体-PUA"/>
                <w:kern w:val="2"/>
                <w:sz w:val="21"/>
                <w:szCs w:val="21"/>
                <w:lang w:val="en-US" w:eastAsia="zh-CN"/>
              </w:rPr>
              <w:t>表面处理工艺为：脱脂-抛丸-静电喷涂或其他更优质工艺。</w:t>
            </w:r>
          </w:p>
          <w:p w14:paraId="48618860">
            <w:pPr>
              <w:pStyle w:val="9"/>
              <w:tabs>
                <w:tab w:val="left" w:pos="522"/>
              </w:tabs>
              <w:spacing w:line="370" w:lineRule="exact"/>
              <w:rPr>
                <w:rFonts w:hint="eastAsia" w:ascii="宋体-PUA" w:hAnsi="宋体-PUA" w:eastAsia="宋体-PUA" w:cs="宋体-PUA"/>
                <w:kern w:val="2"/>
                <w:sz w:val="21"/>
                <w:szCs w:val="21"/>
                <w:lang w:eastAsia="zh-CN"/>
              </w:rPr>
            </w:pPr>
            <w:r>
              <w:rPr>
                <w:rFonts w:hint="eastAsia" w:ascii="宋体-PUA" w:hAnsi="宋体-PUA" w:eastAsia="宋体-PUA" w:cs="宋体-PUA"/>
                <w:kern w:val="2"/>
                <w:sz w:val="21"/>
                <w:szCs w:val="21"/>
                <w:lang w:val="en-US" w:eastAsia="zh-CN"/>
              </w:rPr>
              <w:t>6、</w:t>
            </w:r>
            <w:r>
              <w:rPr>
                <w:rFonts w:hint="eastAsia" w:ascii="宋体-PUA" w:hAnsi="宋体-PUA" w:eastAsia="宋体-PUA" w:cs="宋体-PUA"/>
                <w:kern w:val="2"/>
                <w:sz w:val="21"/>
                <w:szCs w:val="21"/>
              </w:rPr>
              <w:t>乒乓球桌台面SMC材料，翻边高50mm,板面厚5mm，台板背面井字型结构加强筋；支撑框架4纵4横结构连接；撑管采用30×20×2.0mm钢管；彩虹腿采用φ60mm×3mm焊管；网架采用钢管与钢板拼焊而成</w:t>
            </w:r>
            <w:r>
              <w:rPr>
                <w:rFonts w:hint="eastAsia" w:ascii="宋体-PUA" w:hAnsi="宋体-PUA" w:eastAsia="宋体-PUA" w:cs="宋体-PUA"/>
                <w:kern w:val="2"/>
                <w:sz w:val="21"/>
                <w:szCs w:val="21"/>
                <w:lang w:eastAsia="zh-CN"/>
              </w:rPr>
              <w:t>。</w:t>
            </w:r>
          </w:p>
          <w:p w14:paraId="1002CC21">
            <w:pPr>
              <w:pStyle w:val="9"/>
              <w:tabs>
                <w:tab w:val="left" w:pos="522"/>
              </w:tabs>
              <w:spacing w:line="370" w:lineRule="exact"/>
              <w:rPr>
                <w:rFonts w:hint="eastAsia" w:ascii="宋体-PUA" w:hAnsi="宋体-PUA" w:eastAsia="宋体-PUA" w:cs="宋体-PUA"/>
                <w:kern w:val="2"/>
                <w:sz w:val="21"/>
                <w:szCs w:val="21"/>
                <w:lang w:eastAsia="zh-CN"/>
              </w:rPr>
            </w:pPr>
            <w:r>
              <w:rPr>
                <w:rFonts w:hint="eastAsia" w:ascii="宋体-PUA" w:hAnsi="宋体-PUA" w:eastAsia="宋体-PUA" w:cs="宋体-PUA"/>
                <w:kern w:val="2"/>
                <w:sz w:val="21"/>
                <w:szCs w:val="21"/>
                <w:lang w:val="en-US" w:eastAsia="zh-CN"/>
              </w:rPr>
              <w:t>7</w:t>
            </w:r>
            <w:r>
              <w:rPr>
                <w:rFonts w:hint="eastAsia" w:ascii="宋体-PUA" w:hAnsi="宋体-PUA" w:eastAsia="宋体-PUA" w:cs="宋体-PUA"/>
                <w:kern w:val="2"/>
                <w:sz w:val="21"/>
                <w:szCs w:val="21"/>
              </w:rPr>
              <w:t>、棱边和棱角半径不小于3.0mm</w:t>
            </w:r>
            <w:r>
              <w:rPr>
                <w:rFonts w:hint="eastAsia" w:ascii="宋体-PUA" w:hAnsi="宋体-PUA" w:eastAsia="宋体-PUA" w:cs="宋体-PUA"/>
                <w:kern w:val="2"/>
                <w:sz w:val="21"/>
                <w:szCs w:val="21"/>
                <w:lang w:eastAsia="zh-CN"/>
              </w:rPr>
              <w:t>。</w:t>
            </w:r>
          </w:p>
          <w:p w14:paraId="189B5886">
            <w:pPr>
              <w:pStyle w:val="9"/>
              <w:tabs>
                <w:tab w:val="left" w:pos="522"/>
              </w:tabs>
              <w:spacing w:line="370" w:lineRule="exact"/>
              <w:rPr>
                <w:rFonts w:hint="eastAsia" w:ascii="宋体-PUA" w:hAnsi="宋体-PUA" w:eastAsia="宋体-PUA" w:cs="宋体-PUA"/>
                <w:kern w:val="2"/>
                <w:sz w:val="21"/>
                <w:szCs w:val="21"/>
                <w:lang w:eastAsia="zh-CN"/>
              </w:rPr>
            </w:pPr>
            <w:r>
              <w:rPr>
                <w:rFonts w:hint="eastAsia" w:ascii="宋体-PUA" w:hAnsi="宋体-PUA" w:eastAsia="宋体-PUA" w:cs="宋体-PUA"/>
                <w:kern w:val="2"/>
                <w:sz w:val="21"/>
                <w:szCs w:val="21"/>
                <w:lang w:val="en-US" w:eastAsia="zh-CN"/>
              </w:rPr>
              <w:t>8</w:t>
            </w:r>
            <w:r>
              <w:rPr>
                <w:rFonts w:hint="eastAsia" w:ascii="宋体-PUA" w:hAnsi="宋体-PUA" w:eastAsia="宋体-PUA" w:cs="宋体-PUA"/>
                <w:kern w:val="2"/>
                <w:sz w:val="21"/>
                <w:szCs w:val="21"/>
              </w:rPr>
              <w:t>、紧固件材质为不锈钢，具有防盗.防锈.防松功能，螺纹突出部分不应超过其螺距3倍的长度</w:t>
            </w:r>
            <w:r>
              <w:rPr>
                <w:rFonts w:hint="eastAsia" w:ascii="宋体-PUA" w:hAnsi="宋体-PUA" w:eastAsia="宋体-PUA" w:cs="宋体-PUA"/>
                <w:kern w:val="2"/>
                <w:sz w:val="21"/>
                <w:szCs w:val="21"/>
                <w:lang w:eastAsia="zh-CN"/>
              </w:rPr>
              <w:t>，</w:t>
            </w:r>
            <w:r>
              <w:rPr>
                <w:rFonts w:hint="eastAsia" w:ascii="宋体-PUA" w:hAnsi="宋体-PUA" w:eastAsia="宋体-PUA" w:cs="宋体-PUA"/>
                <w:kern w:val="2"/>
                <w:sz w:val="21"/>
                <w:szCs w:val="21"/>
              </w:rPr>
              <w:t>需专用工具方可拆卸</w:t>
            </w:r>
            <w:r>
              <w:rPr>
                <w:rFonts w:hint="eastAsia" w:ascii="宋体-PUA" w:hAnsi="宋体-PUA" w:eastAsia="宋体-PUA" w:cs="宋体-PUA"/>
                <w:kern w:val="2"/>
                <w:sz w:val="21"/>
                <w:szCs w:val="21"/>
                <w:lang w:eastAsia="zh-CN"/>
              </w:rPr>
              <w:t>。</w:t>
            </w:r>
          </w:p>
          <w:p w14:paraId="49FEA783">
            <w:pPr>
              <w:pStyle w:val="9"/>
              <w:tabs>
                <w:tab w:val="left" w:pos="522"/>
              </w:tabs>
              <w:spacing w:line="370" w:lineRule="exact"/>
              <w:rPr>
                <w:rFonts w:hint="eastAsia" w:ascii="宋体-PUA" w:hAnsi="宋体-PUA" w:eastAsia="宋体-PUA" w:cs="宋体-PUA"/>
                <w:kern w:val="2"/>
                <w:sz w:val="21"/>
                <w:szCs w:val="21"/>
                <w:lang w:val="en-US" w:eastAsia="zh-CN"/>
              </w:rPr>
            </w:pPr>
            <w:r>
              <w:rPr>
                <w:rFonts w:hint="eastAsia" w:ascii="宋体-PUA" w:hAnsi="宋体-PUA" w:eastAsia="宋体-PUA" w:cs="宋体-PUA"/>
                <w:kern w:val="2"/>
                <w:sz w:val="21"/>
                <w:szCs w:val="21"/>
                <w:lang w:val="en-US" w:eastAsia="zh-CN"/>
              </w:rPr>
              <w:t>注：</w:t>
            </w:r>
            <w:r>
              <w:rPr>
                <w:rFonts w:hint="eastAsia" w:ascii="宋体-PUA" w:hAnsi="宋体-PUA" w:eastAsia="宋体-PUA" w:cs="宋体-PUA"/>
                <w:szCs w:val="21"/>
                <w:lang w:val="en-US" w:eastAsia="zh-CN"/>
              </w:rPr>
              <w:t>第1-5项具体参数以国家体育总局认可的权威检测机构相关证书登记信息为准，第6-8项具体参数以国家体育用品质量监督检验中心检测报告为准，其余以</w:t>
            </w:r>
            <w:r>
              <w:rPr>
                <w:rFonts w:hint="eastAsia" w:ascii="宋体-PUA" w:hAnsi="宋体-PUA" w:eastAsia="宋体-PUA" w:cs="宋体-PUA"/>
                <w:szCs w:val="21"/>
              </w:rPr>
              <w:t>《响应偏离表》</w:t>
            </w:r>
            <w:r>
              <w:rPr>
                <w:rFonts w:hint="eastAsia" w:ascii="宋体-PUA" w:hAnsi="宋体-PUA" w:eastAsia="宋体-PUA" w:cs="宋体-PUA"/>
                <w:szCs w:val="21"/>
                <w:lang w:val="en-US" w:eastAsia="zh-CN"/>
              </w:rPr>
              <w:t>为准。</w:t>
            </w:r>
          </w:p>
        </w:tc>
        <w:tc>
          <w:tcPr>
            <w:tcW w:w="230" w:type="pct"/>
            <w:noWrap w:val="0"/>
            <w:vAlign w:val="center"/>
          </w:tcPr>
          <w:p w14:paraId="72A70AD1">
            <w:pPr>
              <w:pStyle w:val="10"/>
              <w:jc w:val="center"/>
              <w:rPr>
                <w:rFonts w:hint="eastAsia" w:ascii="Calibri" w:hAnsi="Calibri"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rPr>
              <w:t>张</w:t>
            </w:r>
          </w:p>
        </w:tc>
        <w:tc>
          <w:tcPr>
            <w:tcW w:w="227" w:type="pct"/>
            <w:noWrap w:val="0"/>
            <w:vAlign w:val="center"/>
          </w:tcPr>
          <w:p w14:paraId="582EC029">
            <w:pPr>
              <w:pStyle w:val="10"/>
              <w:jc w:val="center"/>
              <w:rPr>
                <w:rFonts w:hint="default"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167</w:t>
            </w:r>
            <w:bookmarkStart w:id="37" w:name="_GoBack"/>
            <w:bookmarkEnd w:id="37"/>
          </w:p>
        </w:tc>
      </w:tr>
    </w:tbl>
    <w:p w14:paraId="7A52CB0F">
      <w:pPr>
        <w:pStyle w:val="8"/>
        <w:spacing w:after="200" w:line="500" w:lineRule="exact"/>
        <w:ind w:firstLine="482" w:firstLineChars="200"/>
        <w:outlineLvl w:val="1"/>
        <w:rPr>
          <w:rFonts w:hint="eastAsia" w:ascii="仿宋" w:hAnsi="仿宋" w:eastAsia="仿宋" w:cs="仿宋"/>
          <w:b/>
          <w:bCs/>
          <w:kern w:val="2"/>
          <w:sz w:val="24"/>
          <w:szCs w:val="22"/>
          <w:lang w:eastAsia="zh-CN"/>
        </w:rPr>
      </w:pPr>
      <w:r>
        <w:rPr>
          <w:rFonts w:hint="eastAsia" w:ascii="仿宋" w:hAnsi="仿宋" w:eastAsia="仿宋" w:cs="仿宋"/>
          <w:b/>
          <w:bCs/>
          <w:kern w:val="2"/>
          <w:sz w:val="24"/>
          <w:szCs w:val="22"/>
        </w:rPr>
        <w:t>三、付款</w:t>
      </w:r>
      <w:bookmarkEnd w:id="14"/>
      <w:bookmarkEnd w:id="15"/>
      <w:bookmarkEnd w:id="16"/>
      <w:bookmarkEnd w:id="17"/>
      <w:bookmarkEnd w:id="18"/>
      <w:bookmarkEnd w:id="19"/>
      <w:bookmarkEnd w:id="20"/>
    </w:p>
    <w:p w14:paraId="247A251D">
      <w:pPr>
        <w:pStyle w:val="7"/>
        <w:spacing w:line="360" w:lineRule="auto"/>
        <w:ind w:firstLine="480" w:firstLineChars="200"/>
        <w:rPr>
          <w:rFonts w:hint="eastAsia" w:ascii="宋体" w:hAnsi="宋体" w:eastAsia="宋体" w:cs="Times New Roman"/>
          <w:sz w:val="24"/>
          <w:szCs w:val="24"/>
        </w:rPr>
      </w:pPr>
      <w:bookmarkStart w:id="21" w:name="_Toc462997023"/>
      <w:bookmarkStart w:id="22" w:name="_Toc105493081"/>
      <w:bookmarkStart w:id="23" w:name="_Toc256000031"/>
      <w:bookmarkStart w:id="24" w:name="_Toc256000036"/>
      <w:bookmarkStart w:id="25" w:name="_Toc256000041"/>
      <w:bookmarkStart w:id="26" w:name="_Toc111564914"/>
      <w:bookmarkStart w:id="27" w:name="_Toc105493082"/>
      <w:r>
        <w:rPr>
          <w:rFonts w:hint="eastAsia" w:ascii="宋体" w:hAnsi="宋体" w:eastAsia="宋体" w:cs="Times New Roman"/>
          <w:sz w:val="24"/>
          <w:szCs w:val="24"/>
        </w:rPr>
        <w:t>1、合同签订后自收到供应商发票之日起15日内，采购人向中标人支付合同总价款的30%作为预付款。</w:t>
      </w:r>
    </w:p>
    <w:p w14:paraId="23884AF9">
      <w:pPr>
        <w:pStyle w:val="7"/>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2、项目建成并验收合格，采购人自收到供应商发票之日起15日内</w:t>
      </w:r>
      <w:r>
        <w:rPr>
          <w:rFonts w:hint="eastAsia" w:ascii="宋体" w:hAnsi="宋体" w:eastAsia="宋体" w:cs="Times New Roman"/>
          <w:sz w:val="24"/>
          <w:szCs w:val="24"/>
          <w:lang w:val="en-US" w:eastAsia="zh-CN"/>
        </w:rPr>
        <w:t>付清全款</w:t>
      </w:r>
      <w:r>
        <w:rPr>
          <w:rFonts w:hint="eastAsia" w:ascii="宋体" w:hAnsi="宋体" w:eastAsia="宋体" w:cs="Times New Roman"/>
          <w:sz w:val="24"/>
          <w:szCs w:val="24"/>
        </w:rPr>
        <w:t>。</w:t>
      </w:r>
    </w:p>
    <w:p w14:paraId="28E68085">
      <w:pPr>
        <w:pStyle w:val="8"/>
        <w:spacing w:after="200" w:line="500" w:lineRule="exact"/>
        <w:ind w:firstLine="482" w:firstLineChars="200"/>
        <w:outlineLvl w:val="1"/>
        <w:rPr>
          <w:rFonts w:ascii="仿宋" w:hAnsi="仿宋" w:eastAsia="仿宋" w:cs="仿宋"/>
          <w:b/>
          <w:bCs/>
          <w:kern w:val="2"/>
          <w:sz w:val="24"/>
          <w:szCs w:val="22"/>
        </w:rPr>
      </w:pPr>
      <w:bookmarkStart w:id="28" w:name="_Toc256000029"/>
      <w:bookmarkStart w:id="29" w:name="_Toc111564913"/>
      <w:bookmarkStart w:id="30" w:name="_Toc256000035"/>
      <w:bookmarkStart w:id="31" w:name="_Toc256000022"/>
      <w:bookmarkStart w:id="32" w:name="_Toc256000040"/>
      <w:bookmarkStart w:id="33" w:name="_Toc256000017"/>
      <w:r>
        <w:rPr>
          <w:rFonts w:hint="eastAsia" w:ascii="仿宋" w:hAnsi="仿宋" w:eastAsia="仿宋" w:cs="仿宋"/>
          <w:b/>
          <w:bCs/>
          <w:kern w:val="2"/>
          <w:sz w:val="24"/>
          <w:szCs w:val="22"/>
        </w:rPr>
        <w:t>四、质保期限及地点</w:t>
      </w:r>
      <w:bookmarkEnd w:id="21"/>
      <w:bookmarkEnd w:id="22"/>
      <w:bookmarkEnd w:id="28"/>
      <w:bookmarkEnd w:id="29"/>
      <w:bookmarkEnd w:id="30"/>
      <w:bookmarkEnd w:id="31"/>
      <w:bookmarkEnd w:id="32"/>
      <w:bookmarkEnd w:id="33"/>
    </w:p>
    <w:p w14:paraId="030CFCDA">
      <w:pPr>
        <w:pStyle w:val="7"/>
        <w:spacing w:line="360" w:lineRule="auto"/>
        <w:ind w:firstLine="480" w:firstLineChars="200"/>
        <w:rPr>
          <w:rFonts w:ascii="宋体" w:hAnsi="宋体" w:eastAsia="宋体" w:cs="Times New Roman"/>
          <w:sz w:val="24"/>
          <w:szCs w:val="24"/>
        </w:rPr>
      </w:pPr>
      <w:bookmarkStart w:id="34" w:name="_Toc256000023"/>
      <w:bookmarkStart w:id="35" w:name="_Toc256000018"/>
      <w:r>
        <w:rPr>
          <w:rFonts w:hint="eastAsia" w:ascii="宋体" w:hAnsi="宋体" w:eastAsia="宋体" w:cs="Times New Roman"/>
          <w:sz w:val="24"/>
          <w:szCs w:val="24"/>
        </w:rPr>
        <w:t>（一）免费质保期： 8年。</w:t>
      </w:r>
    </w:p>
    <w:p w14:paraId="7D961358">
      <w:pPr>
        <w:pStyle w:val="7"/>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（二）供货期： 30个日历天</w:t>
      </w:r>
    </w:p>
    <w:p w14:paraId="7930A6D5">
      <w:pPr>
        <w:pStyle w:val="7"/>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（三）实施地点：采购人指定。</w:t>
      </w:r>
    </w:p>
    <w:p w14:paraId="0AA7D9DD">
      <w:pPr>
        <w:pStyle w:val="8"/>
        <w:spacing w:after="200" w:line="500" w:lineRule="exact"/>
        <w:ind w:firstLine="482" w:firstLineChars="200"/>
        <w:outlineLvl w:val="1"/>
        <w:rPr>
          <w:rFonts w:ascii="仿宋" w:hAnsi="仿宋" w:eastAsia="仿宋" w:cs="仿宋"/>
          <w:b/>
          <w:bCs/>
          <w:kern w:val="2"/>
          <w:sz w:val="24"/>
          <w:szCs w:val="22"/>
        </w:rPr>
      </w:pPr>
      <w:bookmarkStart w:id="36" w:name="_Toc256000030"/>
      <w:r>
        <w:rPr>
          <w:rFonts w:hint="eastAsia" w:ascii="仿宋" w:hAnsi="仿宋" w:eastAsia="仿宋" w:cs="仿宋"/>
          <w:b/>
          <w:bCs/>
          <w:kern w:val="2"/>
          <w:sz w:val="24"/>
          <w:szCs w:val="22"/>
        </w:rPr>
        <w:t>五、其他要求</w:t>
      </w:r>
      <w:bookmarkEnd w:id="23"/>
      <w:bookmarkEnd w:id="24"/>
      <w:bookmarkEnd w:id="25"/>
      <w:bookmarkEnd w:id="26"/>
      <w:bookmarkEnd w:id="27"/>
      <w:bookmarkEnd w:id="34"/>
      <w:bookmarkEnd w:id="35"/>
      <w:bookmarkEnd w:id="36"/>
    </w:p>
    <w:p w14:paraId="64F2B2A1">
      <w:pPr>
        <w:pStyle w:val="7"/>
        <w:spacing w:line="360" w:lineRule="auto"/>
        <w:ind w:firstLine="482" w:firstLineChars="200"/>
        <w:rPr>
          <w:rFonts w:ascii="宋体" w:hAnsi="宋体" w:eastAsia="宋体" w:cs="Times New Roman"/>
          <w:b/>
          <w:bCs/>
          <w:color w:val="000000"/>
          <w:kern w:val="2"/>
          <w:sz w:val="24"/>
        </w:rPr>
      </w:pPr>
      <w:r>
        <w:rPr>
          <w:rFonts w:hint="eastAsia" w:ascii="宋体" w:hAnsi="宋体" w:eastAsia="宋体" w:cs="Times New Roman"/>
          <w:b/>
          <w:bCs/>
          <w:color w:val="000000"/>
          <w:kern w:val="2"/>
          <w:sz w:val="24"/>
        </w:rPr>
        <w:t>（一）项目实施方案、</w:t>
      </w:r>
      <w:r>
        <w:rPr>
          <w:rFonts w:ascii="宋体" w:hAnsi="宋体" w:eastAsia="宋体" w:cs="Times New Roman"/>
          <w:b/>
          <w:bCs/>
          <w:color w:val="000000"/>
          <w:kern w:val="2"/>
          <w:sz w:val="24"/>
        </w:rPr>
        <w:t>设备安装、调试要求</w:t>
      </w:r>
    </w:p>
    <w:p w14:paraId="173B43BD">
      <w:pPr>
        <w:pStyle w:val="7"/>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1.送至采购人指定地点并安装调试到位，必须依照招标文件的要求和投标文件的承诺，将器材安装并调试至最佳状态。</w:t>
      </w:r>
    </w:p>
    <w:p w14:paraId="690C89F7">
      <w:pPr>
        <w:pStyle w:val="7"/>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2.器材无侵权行为、表面无划损、无任何缺陷隐患，在中国境内可依常规安全合法使用。</w:t>
      </w:r>
    </w:p>
    <w:p w14:paraId="411EC1E4">
      <w:pPr>
        <w:pStyle w:val="7"/>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3.货物为原厂商未启封全新包装，出厂合格证，序列号、包装箱号与出厂批号一致，并可追索查阅，所有随设备的附件必须齐全。</w:t>
      </w:r>
    </w:p>
    <w:p w14:paraId="50ABF325">
      <w:pPr>
        <w:pStyle w:val="7"/>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w:t>
      </w:r>
      <w:r>
        <w:rPr>
          <w:rFonts w:hint="eastAsia" w:cs="Times New Roman"/>
        </w:rPr>
        <w:t xml:space="preserve"> </w:t>
      </w:r>
      <w:r>
        <w:rPr>
          <w:rFonts w:hint="eastAsia" w:ascii="宋体" w:hAnsi="宋体" w:eastAsia="宋体" w:cs="Times New Roman"/>
          <w:sz w:val="24"/>
          <w:szCs w:val="24"/>
        </w:rPr>
        <w:t>根据投标人的实施项目供货计划、安装工期安排、安装技术人员配备、现场安装流程、安装质量要求、项目验收方案等编制方案。</w:t>
      </w:r>
    </w:p>
    <w:p w14:paraId="074176BB">
      <w:pPr>
        <w:pStyle w:val="7"/>
        <w:spacing w:line="360" w:lineRule="auto"/>
        <w:ind w:firstLine="482" w:firstLineChars="200"/>
        <w:rPr>
          <w:rFonts w:ascii="宋体" w:hAnsi="宋体" w:eastAsia="宋体" w:cs="Times New Roman"/>
          <w:b/>
          <w:bCs/>
          <w:color w:val="000000"/>
          <w:kern w:val="2"/>
          <w:sz w:val="24"/>
        </w:rPr>
      </w:pPr>
      <w:r>
        <w:rPr>
          <w:rFonts w:hint="eastAsia" w:ascii="宋体" w:hAnsi="宋体" w:eastAsia="宋体" w:cs="Times New Roman"/>
          <w:b/>
          <w:bCs/>
          <w:color w:val="000000"/>
          <w:kern w:val="2"/>
          <w:sz w:val="24"/>
        </w:rPr>
        <w:t>（二）</w:t>
      </w:r>
      <w:r>
        <w:rPr>
          <w:rFonts w:ascii="宋体" w:hAnsi="宋体" w:eastAsia="宋体" w:cs="Times New Roman"/>
          <w:b/>
          <w:bCs/>
          <w:color w:val="000000"/>
          <w:kern w:val="2"/>
          <w:sz w:val="24"/>
        </w:rPr>
        <w:t>验收要求</w:t>
      </w:r>
    </w:p>
    <w:p w14:paraId="376BCCF3">
      <w:pPr>
        <w:pStyle w:val="7"/>
        <w:spacing w:line="360" w:lineRule="auto"/>
        <w:ind w:firstLine="480" w:firstLineChars="200"/>
        <w:rPr>
          <w:rFonts w:hint="eastAsia" w:ascii="宋体" w:hAnsi="宋体" w:eastAsia="宋体" w:cs="Times New Roman"/>
          <w:bCs/>
          <w:color w:val="000000"/>
          <w:kern w:val="2"/>
          <w:sz w:val="24"/>
        </w:rPr>
      </w:pPr>
      <w:r>
        <w:rPr>
          <w:rFonts w:hint="eastAsia" w:ascii="宋体" w:hAnsi="宋体" w:eastAsia="宋体" w:cs="Times New Roman"/>
          <w:bCs/>
          <w:color w:val="000000"/>
          <w:kern w:val="2"/>
          <w:sz w:val="24"/>
        </w:rPr>
        <w:t>1.采购人组成验收小组按国家有关规定、规范进行验收，必要时邀请相关的专业人员或机构参与验收。因货物质量问题发生争议时，由本地质量技术监督部门鉴定。货物符合质量技术标准的，鉴定费由采购人承担；否则鉴定费由中标人承担。</w:t>
      </w:r>
    </w:p>
    <w:p w14:paraId="03288013">
      <w:pPr>
        <w:pStyle w:val="7"/>
        <w:spacing w:line="360" w:lineRule="auto"/>
        <w:ind w:firstLine="480" w:firstLineChars="200"/>
        <w:rPr>
          <w:rFonts w:hint="eastAsia" w:ascii="宋体" w:hAnsi="宋体" w:eastAsia="宋体" w:cs="Times New Roman"/>
          <w:bCs/>
          <w:color w:val="000000"/>
          <w:kern w:val="2"/>
          <w:sz w:val="24"/>
        </w:rPr>
      </w:pPr>
      <w:r>
        <w:rPr>
          <w:rFonts w:hint="eastAsia" w:ascii="宋体" w:hAnsi="宋体" w:eastAsia="宋体" w:cs="Times New Roman"/>
          <w:bCs/>
          <w:color w:val="000000"/>
          <w:kern w:val="2"/>
          <w:sz w:val="24"/>
        </w:rPr>
        <w:t>2.中标供应商根据招标要求进行产品的安装，由采购人或采购人聘请技术专家或专业检测机构进行验收（验收内容包括但不限于器材质量、站点和器材信息是否已按要求录入省平台、编码是否已印制在告示牌和器材上并激活等其它采购人要求的内容），因此支出的相关费用（包括但不限于检测费用及出具质量检测报告费用）均由中标供应商承担。</w:t>
      </w:r>
    </w:p>
    <w:p w14:paraId="50F1F55F">
      <w:pPr>
        <w:pStyle w:val="7"/>
        <w:spacing w:line="360" w:lineRule="auto"/>
        <w:ind w:firstLine="480" w:firstLineChars="200"/>
        <w:rPr>
          <w:rFonts w:ascii="宋体" w:hAnsi="宋体" w:eastAsia="宋体" w:cs="Times New Roman"/>
          <w:b/>
          <w:bCs/>
          <w:color w:val="000000"/>
          <w:kern w:val="2"/>
          <w:sz w:val="24"/>
        </w:rPr>
      </w:pPr>
      <w:r>
        <w:rPr>
          <w:rFonts w:hint="eastAsia" w:ascii="宋体" w:hAnsi="宋体" w:eastAsia="宋体" w:cs="Times New Roman"/>
          <w:bCs/>
          <w:color w:val="000000"/>
          <w:kern w:val="2"/>
          <w:sz w:val="24"/>
        </w:rPr>
        <w:t>（三）</w:t>
      </w:r>
      <w:r>
        <w:rPr>
          <w:rFonts w:ascii="宋体" w:hAnsi="宋体" w:eastAsia="宋体" w:cs="Times New Roman"/>
          <w:b/>
          <w:bCs/>
          <w:color w:val="000000"/>
          <w:kern w:val="2"/>
          <w:sz w:val="24"/>
        </w:rPr>
        <w:t>售后服务要求</w:t>
      </w:r>
    </w:p>
    <w:p w14:paraId="5B5947A4">
      <w:pPr>
        <w:pStyle w:val="7"/>
        <w:spacing w:line="360" w:lineRule="auto"/>
        <w:ind w:firstLine="480" w:firstLineChars="200"/>
        <w:rPr>
          <w:rFonts w:ascii="宋体" w:hAnsi="宋体" w:eastAsia="宋体" w:cs="Times New Roman"/>
          <w:bCs/>
          <w:sz w:val="24"/>
        </w:rPr>
      </w:pPr>
      <w:r>
        <w:rPr>
          <w:rFonts w:ascii="宋体" w:hAnsi="宋体" w:eastAsia="宋体" w:cs="Times New Roman"/>
          <w:bCs/>
          <w:sz w:val="24"/>
        </w:rPr>
        <w:t>1.提供售后服务质量保障方案，建立完善的售后服务管理体系及拥有专业的维护队伍</w:t>
      </w:r>
      <w:r>
        <w:rPr>
          <w:rFonts w:hint="eastAsia" w:ascii="宋体" w:hAnsi="宋体" w:eastAsia="宋体" w:cs="Times New Roman"/>
          <w:bCs/>
          <w:sz w:val="24"/>
        </w:rPr>
        <w:t>。</w:t>
      </w:r>
    </w:p>
    <w:p w14:paraId="779BC082">
      <w:pPr>
        <w:pStyle w:val="7"/>
        <w:spacing w:line="360" w:lineRule="auto"/>
        <w:ind w:firstLine="480" w:firstLineChars="200"/>
        <w:rPr>
          <w:rFonts w:ascii="宋体" w:hAnsi="宋体" w:eastAsia="宋体" w:cs="Times New Roman"/>
          <w:bCs/>
          <w:sz w:val="24"/>
        </w:rPr>
      </w:pPr>
      <w:r>
        <w:rPr>
          <w:rFonts w:ascii="宋体" w:hAnsi="宋体" w:eastAsia="宋体" w:cs="Times New Roman"/>
          <w:bCs/>
          <w:sz w:val="24"/>
        </w:rPr>
        <w:t>2.质保期内中标人对所供货物实行包修、包换、包退、包维护保养，质保期满后可提供终身维修保养服务，只收取成本费用。</w:t>
      </w:r>
    </w:p>
    <w:p w14:paraId="2055C53B">
      <w:pPr>
        <w:pStyle w:val="7"/>
        <w:spacing w:line="360" w:lineRule="auto"/>
        <w:ind w:firstLine="480" w:firstLineChars="200"/>
        <w:rPr>
          <w:rFonts w:ascii="宋体" w:hAnsi="宋体" w:eastAsia="宋体" w:cs="Times New Roman"/>
          <w:bCs/>
          <w:color w:val="000000"/>
          <w:kern w:val="2"/>
          <w:sz w:val="24"/>
        </w:rPr>
      </w:pPr>
      <w:r>
        <w:rPr>
          <w:rFonts w:ascii="宋体" w:hAnsi="宋体" w:eastAsia="宋体" w:cs="Times New Roman"/>
          <w:bCs/>
          <w:sz w:val="24"/>
        </w:rPr>
        <w:t>3.应针对本项目提供详细、明确、具体的日常维护和应急解决方案，应据自身的实际情况提供详细具体的售后服务方案。</w:t>
      </w:r>
    </w:p>
    <w:p w14:paraId="3EA2E646">
      <w:pPr>
        <w:pStyle w:val="7"/>
        <w:spacing w:line="360" w:lineRule="auto"/>
        <w:ind w:firstLine="480" w:firstLineChars="200"/>
        <w:rPr>
          <w:rFonts w:hint="eastAsia" w:ascii="宋体" w:hAnsi="宋体" w:eastAsia="宋体" w:cs="Times New Roman"/>
          <w:bCs/>
          <w:sz w:val="24"/>
        </w:rPr>
      </w:pPr>
      <w:r>
        <w:rPr>
          <w:rFonts w:hint="eastAsia" w:ascii="宋体" w:hAnsi="宋体" w:eastAsia="宋体" w:cs="Times New Roman"/>
          <w:bCs/>
          <w:sz w:val="24"/>
        </w:rPr>
        <w:t>备注：1、★部分为实质性要求，不接受负偏离。否则，作为无效标处理。</w:t>
      </w:r>
    </w:p>
    <w:p w14:paraId="0F174E10">
      <w:pPr>
        <w:pStyle w:val="7"/>
        <w:spacing w:line="360" w:lineRule="auto"/>
        <w:ind w:firstLine="480" w:firstLineChars="200"/>
        <w:rPr>
          <w:rFonts w:ascii="宋体" w:hAnsi="宋体" w:eastAsia="宋体" w:cs="Times New Roman"/>
          <w:bCs/>
          <w:sz w:val="24"/>
        </w:rPr>
      </w:pPr>
      <w:r>
        <w:rPr>
          <w:rFonts w:hint="eastAsia" w:ascii="宋体" w:hAnsi="宋体" w:eastAsia="宋体" w:cs="Times New Roman"/>
          <w:bCs/>
          <w:sz w:val="24"/>
        </w:rPr>
        <w:t>2、本项目所涉及的均为推荐品牌，中标人选投非推荐品牌的，需提供相关资料证明其技术性能及质量等级等于或高于推荐品牌。</w:t>
      </w:r>
    </w:p>
    <w:p w14:paraId="330ECF63">
      <w:pPr>
        <w:rPr>
          <w:rFonts w:hint="eastAsia" w:eastAsia="宋体" w:cs="Times New Roman"/>
          <w:color w:val="000080"/>
          <w:sz w:val="20"/>
          <w:highlight w:val="white"/>
        </w:rPr>
      </w:pPr>
      <w:r>
        <w:rPr>
          <w:rFonts w:hint="eastAsia" w:eastAsia="宋体" w:cs="Times New Roman"/>
          <w:color w:val="000080"/>
          <w:sz w:val="20"/>
          <w:highlight w:val="white"/>
        </w:rPr>
        <w:t xml:space="preserve"> </w:t>
      </w:r>
      <w:bookmarkEnd w:id="0"/>
    </w:p>
    <w:p w14:paraId="562643D6">
      <w:pPr>
        <w:rPr>
          <w:rFonts w:hint="eastAsia" w:eastAsia="宋体" w:cs="Times New Roman"/>
          <w:color w:val="000080"/>
          <w:sz w:val="20"/>
          <w:highlight w:val="white"/>
        </w:rPr>
      </w:pPr>
    </w:p>
    <w:p w14:paraId="59099D42"/>
    <w:sectPr>
      <w:footerReference r:id="rId3" w:type="default"/>
      <w:pgSz w:w="11906" w:h="16838"/>
      <w:pgMar w:top="1440" w:right="1474" w:bottom="1440" w:left="158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宋体-PUA">
    <w:altName w:val="宋体"/>
    <w:panose1 w:val="02010600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95930">
    <w:pPr>
      <w:pStyle w:val="3"/>
      <w:jc w:val="center"/>
      <w:rPr>
        <w:rFonts w:eastAsia="宋体" w:cs="Times New Roman"/>
      </w:rPr>
    </w:pPr>
    <w:r>
      <w:rPr>
        <w:rFonts w:eastAsia="宋体" w:cs="Times New Roman"/>
      </w:rPr>
      <w:fldChar w:fldCharType="begin"/>
    </w:r>
    <w:r>
      <w:rPr>
        <w:rFonts w:eastAsia="宋体" w:cs="Times New Roman"/>
        <w:highlight w:val="white"/>
      </w:rPr>
      <w:instrText xml:space="preserve">PAGE   \* MERGEFORMAT</w:instrText>
    </w:r>
    <w:r>
      <w:rPr>
        <w:rFonts w:eastAsia="宋体" w:cs="Times New Roman"/>
      </w:rPr>
      <w:fldChar w:fldCharType="separate"/>
    </w:r>
    <w:r>
      <w:rPr>
        <w:rFonts w:eastAsia="宋体" w:cs="Times New Roman"/>
        <w:highlight w:val="white"/>
        <w:lang w:val="zh-CN"/>
      </w:rPr>
      <w:t>73</w:t>
    </w:r>
    <w:r>
      <w:rPr>
        <w:rFonts w:eastAsia="宋体" w:cs="Times New Roman"/>
      </w:rPr>
      <w:fldChar w:fldCharType="end"/>
    </w:r>
  </w:p>
  <w:p w14:paraId="3FFB422A">
    <w:pPr>
      <w:pStyle w:val="3"/>
      <w:ind w:right="360"/>
      <w:rPr>
        <w:rFonts w:eastAsia="宋体"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8DF1E9"/>
    <w:multiLevelType w:val="singleLevel"/>
    <w:tmpl w:val="158DF1E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B910B8"/>
    <w:rsid w:val="18341E44"/>
    <w:rsid w:val="1BA86B8C"/>
    <w:rsid w:val="46C329DE"/>
    <w:rsid w:val="49885819"/>
    <w:rsid w:val="6F0B7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next w:val="1"/>
    <w:uiPriority w:val="0"/>
    <w:pPr>
      <w:widowControl w:val="0"/>
      <w:spacing w:line="60" w:lineRule="auto"/>
      <w:jc w:val="both"/>
    </w:pPr>
    <w:rPr>
      <w:rFonts w:ascii="仿宋_GB2312" w:hAnsi="Calibri" w:eastAsia="仿宋_GB2312" w:cs="Times New Roman"/>
      <w:kern w:val="2"/>
      <w:sz w:val="32"/>
      <w:szCs w:val="22"/>
      <w:lang w:val="en-US" w:eastAsia="zh-CN" w:bidi="ar-SA"/>
    </w:rPr>
  </w:style>
  <w:style w:type="paragraph" w:styleId="3">
    <w:name w:val="footer"/>
    <w:uiPriority w:val="99"/>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customStyle="1" w:styleId="6">
    <w:name w:val="正文_16"/>
    <w:qFormat/>
    <w:uiPriority w:val="0"/>
    <w:pPr>
      <w:widowControl w:val="0"/>
      <w:jc w:val="both"/>
    </w:pPr>
    <w:rPr>
      <w:rFonts w:ascii="Calibri" w:hAnsi="Calibri" w:eastAsia="宋体" w:cs="Times New Roman"/>
      <w:lang w:val="en-US" w:eastAsia="zh-CN" w:bidi="ar-SA"/>
    </w:rPr>
  </w:style>
  <w:style w:type="paragraph" w:customStyle="1" w:styleId="7">
    <w:name w:val="正文4"/>
    <w:qFormat/>
    <w:uiPriority w:val="0"/>
    <w:pPr>
      <w:adjustRightInd w:val="0"/>
      <w:snapToGrid w:val="0"/>
    </w:pPr>
    <w:rPr>
      <w:rFonts w:ascii="Tahoma" w:hAnsi="Tahoma" w:eastAsia="微软雅黑" w:cs="Times New Roman"/>
      <w:lang w:val="en-US" w:eastAsia="zh-CN" w:bidi="ar-SA"/>
    </w:rPr>
  </w:style>
  <w:style w:type="paragraph" w:customStyle="1" w:styleId="8">
    <w:name w:val="正文_3_0"/>
    <w:qFormat/>
    <w:uiPriority w:val="0"/>
    <w:pPr>
      <w:widowControl w:val="0"/>
      <w:jc w:val="both"/>
    </w:pPr>
    <w:rPr>
      <w:rFonts w:ascii="Calibri" w:hAnsi="Calibri" w:eastAsia="宋体" w:cs="Times New Roman"/>
      <w:lang w:val="en-US" w:eastAsia="zh-CN" w:bidi="ar-SA"/>
    </w:rPr>
  </w:style>
  <w:style w:type="paragraph" w:customStyle="1" w:styleId="9">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
    <w:name w:val="Normal_20"/>
    <w:qFormat/>
    <w:uiPriority w:val="0"/>
    <w:rPr>
      <w:rFonts w:ascii="Times New Roman" w:hAnsi="Times New Roman" w:eastAsia="Times New Roman" w:cs="Times New Roman"/>
      <w:sz w:val="24"/>
      <w:szCs w:val="24"/>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2023-10-23T02:17:00Z</dcterms:created>
  <dc:creator>Administrator</dc:creator>
  <cp:lastModifiedBy>Administrator</cp:lastModifiedBy>
  <dcterms:modified xsi:type="dcterms:W3CDTF">2025-06-10T09:02:24Z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58671B95AA5B47B38C761A2AA8434406_12</vt:lpwstr>
  </property>
  <property fmtid="{D5CDD505-2E9C-101B-9397-08002B2CF9AE}" pid="4" name="KSOTemplateDocerSaveRecord">
    <vt:lpwstr>eyJoZGlkIjoiMjg5M2Y2MjRlNTI1NWM3OTZjZThmM2I5MGEwOTdmNDciLCJ1c2VySWQiOiIyNzA1NTgyNDQifQ==</vt:lpwstr>
  </property>
</Properties>
</file>